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7DF5" w14:textId="780B151C" w:rsidR="00511A8F" w:rsidRPr="0050703F" w:rsidRDefault="0050703F" w:rsidP="00A478F4">
      <w:pPr>
        <w:widowControl w:val="0"/>
        <w:autoSpaceDE w:val="0"/>
        <w:autoSpaceDN w:val="0"/>
        <w:adjustRightInd w:val="0"/>
        <w:spacing w:after="0" w:line="240" w:lineRule="auto"/>
        <w:jc w:val="center"/>
        <w:rPr>
          <w:rFonts w:ascii="Times New Roman" w:hAnsi="Times New Roman" w:cs="Times New Roman"/>
          <w:sz w:val="28"/>
          <w:szCs w:val="28"/>
          <w:lang w:val="en-US"/>
        </w:rPr>
      </w:pPr>
      <w:proofErr w:type="spellStart"/>
      <w:r w:rsidRPr="0050703F">
        <w:rPr>
          <w:rFonts w:ascii="Times New Roman" w:hAnsi="Times New Roman" w:cs="Times New Roman"/>
          <w:color w:val="000000"/>
          <w:sz w:val="28"/>
          <w:szCs w:val="28"/>
        </w:rPr>
        <w:t>Quantifying</w:t>
      </w:r>
      <w:proofErr w:type="spellEnd"/>
      <w:r w:rsidRPr="0050703F">
        <w:rPr>
          <w:rFonts w:ascii="Times New Roman" w:hAnsi="Times New Roman" w:cs="Times New Roman"/>
          <w:color w:val="000000"/>
          <w:sz w:val="28"/>
          <w:szCs w:val="28"/>
        </w:rPr>
        <w:t xml:space="preserve"> </w:t>
      </w:r>
      <w:proofErr w:type="spellStart"/>
      <w:r w:rsidRPr="0050703F">
        <w:rPr>
          <w:rFonts w:ascii="Times New Roman" w:hAnsi="Times New Roman" w:cs="Times New Roman"/>
          <w:color w:val="000000"/>
          <w:sz w:val="28"/>
          <w:szCs w:val="28"/>
        </w:rPr>
        <w:t>the</w:t>
      </w:r>
      <w:proofErr w:type="spellEnd"/>
      <w:r w:rsidRPr="0050703F">
        <w:rPr>
          <w:rFonts w:ascii="Times New Roman" w:hAnsi="Times New Roman" w:cs="Times New Roman"/>
          <w:color w:val="000000"/>
          <w:sz w:val="28"/>
          <w:szCs w:val="28"/>
        </w:rPr>
        <w:t xml:space="preserve"> Impact of Public–Private </w:t>
      </w:r>
      <w:proofErr w:type="spellStart"/>
      <w:r w:rsidRPr="0050703F">
        <w:rPr>
          <w:rFonts w:ascii="Times New Roman" w:hAnsi="Times New Roman" w:cs="Times New Roman"/>
          <w:color w:val="000000"/>
          <w:sz w:val="28"/>
          <w:szCs w:val="28"/>
        </w:rPr>
        <w:t>Partnerships</w:t>
      </w:r>
      <w:proofErr w:type="spellEnd"/>
      <w:r w:rsidRPr="0050703F">
        <w:rPr>
          <w:rFonts w:ascii="Times New Roman" w:hAnsi="Times New Roman" w:cs="Times New Roman"/>
          <w:color w:val="000000"/>
          <w:sz w:val="28"/>
          <w:szCs w:val="28"/>
        </w:rPr>
        <w:t xml:space="preserve"> on Economic </w:t>
      </w:r>
      <w:proofErr w:type="spellStart"/>
      <w:r w:rsidRPr="0050703F">
        <w:rPr>
          <w:rFonts w:ascii="Times New Roman" w:hAnsi="Times New Roman" w:cs="Times New Roman"/>
          <w:color w:val="000000"/>
          <w:sz w:val="28"/>
          <w:szCs w:val="28"/>
        </w:rPr>
        <w:t>Development</w:t>
      </w:r>
      <w:proofErr w:type="spellEnd"/>
      <w:r w:rsidRPr="0050703F">
        <w:rPr>
          <w:rFonts w:ascii="Times New Roman" w:hAnsi="Times New Roman" w:cs="Times New Roman"/>
          <w:color w:val="000000"/>
          <w:sz w:val="28"/>
          <w:szCs w:val="28"/>
        </w:rPr>
        <w:t>: A European-</w:t>
      </w:r>
      <w:proofErr w:type="spellStart"/>
      <w:r w:rsidRPr="0050703F">
        <w:rPr>
          <w:rFonts w:ascii="Times New Roman" w:hAnsi="Times New Roman" w:cs="Times New Roman"/>
          <w:color w:val="000000"/>
          <w:sz w:val="28"/>
          <w:szCs w:val="28"/>
        </w:rPr>
        <w:t>Level</w:t>
      </w:r>
      <w:proofErr w:type="spellEnd"/>
      <w:r w:rsidRPr="0050703F">
        <w:rPr>
          <w:rFonts w:ascii="Times New Roman" w:hAnsi="Times New Roman" w:cs="Times New Roman"/>
          <w:color w:val="000000"/>
          <w:sz w:val="28"/>
          <w:szCs w:val="28"/>
        </w:rPr>
        <w:t xml:space="preserve"> </w:t>
      </w:r>
      <w:proofErr w:type="spellStart"/>
      <w:r w:rsidRPr="0050703F">
        <w:rPr>
          <w:rFonts w:ascii="Times New Roman" w:hAnsi="Times New Roman" w:cs="Times New Roman"/>
          <w:color w:val="000000"/>
          <w:sz w:val="28"/>
          <w:szCs w:val="28"/>
        </w:rPr>
        <w:t>Analysis</w:t>
      </w:r>
      <w:proofErr w:type="spellEnd"/>
    </w:p>
    <w:p w14:paraId="39E7F37A" w14:textId="77777777" w:rsidR="00511A8F" w:rsidRPr="0006114F" w:rsidRDefault="00511A8F" w:rsidP="00A478F4">
      <w:pPr>
        <w:widowControl w:val="0"/>
        <w:autoSpaceDE w:val="0"/>
        <w:autoSpaceDN w:val="0"/>
        <w:adjustRightInd w:val="0"/>
        <w:spacing w:after="0" w:line="240" w:lineRule="auto"/>
        <w:jc w:val="center"/>
        <w:rPr>
          <w:rFonts w:ascii="Times New Roman" w:hAnsi="Times New Roman" w:cs="Times New Roman"/>
          <w:sz w:val="24"/>
          <w:szCs w:val="24"/>
          <w:lang w:val="en-US"/>
        </w:rPr>
      </w:pPr>
    </w:p>
    <w:p w14:paraId="12745023" w14:textId="12EE8A08" w:rsidR="00511A8F" w:rsidRPr="0006114F" w:rsidRDefault="0050703F" w:rsidP="00A478F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Elena </w:t>
      </w:r>
      <w:proofErr w:type="spellStart"/>
      <w:r>
        <w:rPr>
          <w:rFonts w:ascii="Times New Roman" w:hAnsi="Times New Roman" w:cs="Times New Roman"/>
          <w:sz w:val="24"/>
          <w:szCs w:val="24"/>
          <w:lang w:val="en-US"/>
        </w:rPr>
        <w:t>Bizim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Surdu</w:t>
      </w:r>
      <w:proofErr w:type="spellEnd"/>
      <w:r>
        <w:rPr>
          <w:rFonts w:ascii="Times New Roman" w:hAnsi="Times New Roman" w:cs="Times New Roman"/>
          <w:sz w:val="24"/>
          <w:szCs w:val="24"/>
          <w:lang w:val="en-US"/>
        </w:rPr>
        <w:t>)</w:t>
      </w:r>
    </w:p>
    <w:p w14:paraId="133306C4" w14:textId="2662F335" w:rsidR="00511A8F" w:rsidRDefault="0050703F" w:rsidP="00A478F4">
      <w:pPr>
        <w:widowControl w:val="0"/>
        <w:autoSpaceDE w:val="0"/>
        <w:autoSpaceDN w:val="0"/>
        <w:adjustRightInd w:val="0"/>
        <w:spacing w:after="0" w:line="240" w:lineRule="auto"/>
        <w:jc w:val="center"/>
        <w:rPr>
          <w:rFonts w:ascii="Times New Roman" w:hAnsi="Times New Roman" w:cs="Times New Roman"/>
          <w:i/>
          <w:iCs/>
          <w:sz w:val="24"/>
          <w:szCs w:val="24"/>
          <w:lang w:val="en-US"/>
        </w:rPr>
      </w:pPr>
      <w:proofErr w:type="spellStart"/>
      <w:r>
        <w:rPr>
          <w:rFonts w:ascii="Times New Roman" w:hAnsi="Times New Roman" w:cs="Times New Roman"/>
          <w:i/>
          <w:iCs/>
          <w:sz w:val="24"/>
          <w:szCs w:val="24"/>
          <w:lang w:val="en-US"/>
        </w:rPr>
        <w:t>Alexandru</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Ioan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Cuza</w:t>
      </w:r>
      <w:proofErr w:type="spellEnd"/>
      <w:r>
        <w:rPr>
          <w:rFonts w:ascii="Times New Roman" w:hAnsi="Times New Roman" w:cs="Times New Roman"/>
          <w:i/>
          <w:iCs/>
          <w:sz w:val="24"/>
          <w:szCs w:val="24"/>
          <w:lang w:val="en-US"/>
        </w:rPr>
        <w:t xml:space="preserve"> University of </w:t>
      </w:r>
      <w:proofErr w:type="spellStart"/>
      <w:r>
        <w:rPr>
          <w:rFonts w:ascii="Times New Roman" w:hAnsi="Times New Roman" w:cs="Times New Roman"/>
          <w:i/>
          <w:iCs/>
          <w:sz w:val="24"/>
          <w:szCs w:val="24"/>
          <w:lang w:val="en-US"/>
        </w:rPr>
        <w:t>Iași</w:t>
      </w:r>
      <w:proofErr w:type="spellEnd"/>
    </w:p>
    <w:p w14:paraId="3D190CA0" w14:textId="22E848C9" w:rsidR="0050703F" w:rsidRPr="0006114F" w:rsidRDefault="0050703F" w:rsidP="00A478F4">
      <w:pPr>
        <w:widowControl w:val="0"/>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i/>
          <w:iCs/>
          <w:sz w:val="24"/>
          <w:szCs w:val="24"/>
          <w:lang w:val="en-US"/>
        </w:rPr>
        <w:t>Doctoral School of Economics and Business Administration</w:t>
      </w:r>
    </w:p>
    <w:p w14:paraId="27973B96" w14:textId="6C520962" w:rsidR="00511A8F" w:rsidRPr="0006114F" w:rsidRDefault="0050703F" w:rsidP="00A478F4">
      <w:pPr>
        <w:widowControl w:val="0"/>
        <w:autoSpaceDE w:val="0"/>
        <w:autoSpaceDN w:val="0"/>
        <w:adjustRightInd w:val="0"/>
        <w:spacing w:after="0" w:line="240" w:lineRule="auto"/>
        <w:jc w:val="center"/>
        <w:rPr>
          <w:rFonts w:ascii="Times New Roman" w:hAnsi="Times New Roman" w:cs="Times New Roman"/>
          <w:i/>
          <w:iCs/>
          <w:color w:val="0000FF"/>
          <w:sz w:val="24"/>
          <w:szCs w:val="24"/>
          <w:u w:val="single"/>
          <w:lang w:val="en-US"/>
        </w:rPr>
      </w:pPr>
      <w:r>
        <w:rPr>
          <w:rFonts w:ascii="Times New Roman" w:hAnsi="Times New Roman" w:cs="Times New Roman"/>
          <w:i/>
          <w:iCs/>
          <w:color w:val="0000FF"/>
          <w:sz w:val="24"/>
          <w:szCs w:val="24"/>
          <w:u w:val="single"/>
          <w:lang w:val="en-US"/>
        </w:rPr>
        <w:t>elena.bizim@student.uaic.ro</w:t>
      </w:r>
    </w:p>
    <w:p w14:paraId="6FD5ADAD" w14:textId="77777777" w:rsidR="00511A8F" w:rsidRPr="0006114F" w:rsidRDefault="00511A8F" w:rsidP="00A478F4">
      <w:pPr>
        <w:widowControl w:val="0"/>
        <w:autoSpaceDE w:val="0"/>
        <w:autoSpaceDN w:val="0"/>
        <w:adjustRightInd w:val="0"/>
        <w:spacing w:after="0" w:line="240" w:lineRule="auto"/>
        <w:jc w:val="both"/>
        <w:rPr>
          <w:rFonts w:ascii="Times New Roman" w:hAnsi="Times New Roman" w:cs="Times New Roman"/>
          <w:iCs/>
          <w:color w:val="0000FF"/>
          <w:sz w:val="24"/>
          <w:szCs w:val="24"/>
          <w:u w:val="single"/>
          <w:lang w:val="en-US"/>
        </w:rPr>
      </w:pPr>
    </w:p>
    <w:p w14:paraId="7374AAEC" w14:textId="77777777" w:rsidR="00511A8F" w:rsidRPr="0006114F" w:rsidRDefault="00511A8F" w:rsidP="00A478F4">
      <w:pPr>
        <w:widowControl w:val="0"/>
        <w:autoSpaceDE w:val="0"/>
        <w:autoSpaceDN w:val="0"/>
        <w:adjustRightInd w:val="0"/>
        <w:spacing w:after="0" w:line="240" w:lineRule="auto"/>
        <w:jc w:val="both"/>
        <w:rPr>
          <w:rFonts w:ascii="Times New Roman" w:hAnsi="Times New Roman" w:cs="Times New Roman"/>
          <w:iCs/>
          <w:color w:val="0000FF"/>
          <w:sz w:val="24"/>
          <w:szCs w:val="24"/>
          <w:u w:val="single"/>
          <w:lang w:val="en-US"/>
        </w:rPr>
      </w:pPr>
    </w:p>
    <w:p w14:paraId="5DCE2149" w14:textId="77777777" w:rsidR="00511A8F" w:rsidRPr="0006114F" w:rsidRDefault="00511A8F" w:rsidP="00A478F4">
      <w:pPr>
        <w:widowControl w:val="0"/>
        <w:autoSpaceDE w:val="0"/>
        <w:autoSpaceDN w:val="0"/>
        <w:adjustRightInd w:val="0"/>
        <w:spacing w:after="0" w:line="240" w:lineRule="auto"/>
        <w:ind w:left="1580"/>
        <w:jc w:val="both"/>
        <w:rPr>
          <w:rFonts w:ascii="Times New Roman" w:hAnsi="Times New Roman" w:cs="Times New Roman"/>
          <w:b/>
          <w:bCs/>
          <w:sz w:val="24"/>
          <w:szCs w:val="24"/>
          <w:lang w:val="en-US"/>
        </w:rPr>
        <w:sectPr w:rsidR="00511A8F" w:rsidRPr="0006114F" w:rsidSect="00944F7E">
          <w:type w:val="continuous"/>
          <w:pgSz w:w="11907" w:h="16840" w:code="9"/>
          <w:pgMar w:top="1418" w:right="1418" w:bottom="1418" w:left="1701" w:header="709" w:footer="709" w:gutter="0"/>
          <w:cols w:space="720"/>
          <w:docGrid w:linePitch="360"/>
        </w:sectPr>
      </w:pPr>
    </w:p>
    <w:p w14:paraId="47DFC99B" w14:textId="4FF45680" w:rsidR="00511A8F" w:rsidRDefault="00511A8F" w:rsidP="00A478F4">
      <w:pPr>
        <w:widowControl w:val="0"/>
        <w:autoSpaceDE w:val="0"/>
        <w:autoSpaceDN w:val="0"/>
        <w:adjustRightInd w:val="0"/>
        <w:spacing w:after="0" w:line="240" w:lineRule="auto"/>
        <w:jc w:val="center"/>
        <w:rPr>
          <w:rFonts w:ascii="Times New Roman" w:hAnsi="Times New Roman" w:cs="Times New Roman"/>
          <w:b/>
          <w:bCs/>
          <w:lang w:val="en-US"/>
        </w:rPr>
      </w:pPr>
      <w:r w:rsidRPr="00375EC0">
        <w:rPr>
          <w:rFonts w:ascii="Times New Roman" w:hAnsi="Times New Roman" w:cs="Times New Roman"/>
          <w:b/>
          <w:bCs/>
          <w:lang w:val="en-US"/>
        </w:rPr>
        <w:t>Abstract</w:t>
      </w:r>
    </w:p>
    <w:p w14:paraId="6BA74284" w14:textId="77777777" w:rsidR="00A478F4" w:rsidRPr="00375EC0" w:rsidRDefault="00A478F4" w:rsidP="00A478F4">
      <w:pPr>
        <w:widowControl w:val="0"/>
        <w:autoSpaceDE w:val="0"/>
        <w:autoSpaceDN w:val="0"/>
        <w:adjustRightInd w:val="0"/>
        <w:spacing w:after="0" w:line="240" w:lineRule="auto"/>
        <w:jc w:val="center"/>
        <w:rPr>
          <w:rFonts w:ascii="Times New Roman" w:hAnsi="Times New Roman" w:cs="Times New Roman"/>
          <w:b/>
          <w:bCs/>
          <w:lang w:val="en-US"/>
        </w:rPr>
      </w:pPr>
    </w:p>
    <w:p w14:paraId="6F462236" w14:textId="672588D4" w:rsidR="00511A8F" w:rsidRDefault="00A478F4" w:rsidP="00A478F4">
      <w:pPr>
        <w:widowControl w:val="0"/>
        <w:autoSpaceDE w:val="0"/>
        <w:autoSpaceDN w:val="0"/>
        <w:adjustRightInd w:val="0"/>
        <w:spacing w:after="0" w:line="240" w:lineRule="auto"/>
        <w:jc w:val="both"/>
        <w:rPr>
          <w:rFonts w:ascii="Times New Roman" w:hAnsi="Times New Roman" w:cs="Times New Roman"/>
          <w:i/>
          <w:iCs/>
          <w:color w:val="000000"/>
        </w:rPr>
      </w:pPr>
      <w:proofErr w:type="spellStart"/>
      <w:r w:rsidRPr="00A478F4">
        <w:rPr>
          <w:rFonts w:ascii="Times New Roman" w:hAnsi="Times New Roman" w:cs="Times New Roman"/>
          <w:i/>
          <w:iCs/>
          <w:color w:val="000000"/>
        </w:rPr>
        <w:t>This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study</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investigates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the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relationship</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between</w:t>
      </w:r>
      <w:proofErr w:type="spellEnd"/>
      <w:r w:rsidRPr="00A478F4">
        <w:rPr>
          <w:rFonts w:ascii="Times New Roman" w:hAnsi="Times New Roman" w:cs="Times New Roman"/>
          <w:i/>
          <w:iCs/>
          <w:color w:val="000000"/>
        </w:rPr>
        <w:t xml:space="preserve"> public–private </w:t>
      </w:r>
      <w:proofErr w:type="spellStart"/>
      <w:r w:rsidRPr="00A478F4">
        <w:rPr>
          <w:rFonts w:ascii="Times New Roman" w:hAnsi="Times New Roman" w:cs="Times New Roman"/>
          <w:i/>
          <w:iCs/>
          <w:color w:val="000000"/>
        </w:rPr>
        <w:t>partnerships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PPPs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and</w:t>
      </w:r>
      <w:proofErr w:type="spellEnd"/>
      <w:r w:rsidRPr="00A478F4">
        <w:rPr>
          <w:rFonts w:ascii="Times New Roman" w:hAnsi="Times New Roman" w:cs="Times New Roman"/>
          <w:i/>
          <w:iCs/>
          <w:color w:val="000000"/>
        </w:rPr>
        <w:t xml:space="preserve"> local economic </w:t>
      </w:r>
      <w:proofErr w:type="spellStart"/>
      <w:r w:rsidRPr="00A478F4">
        <w:rPr>
          <w:rFonts w:ascii="Times New Roman" w:hAnsi="Times New Roman" w:cs="Times New Roman"/>
          <w:i/>
          <w:iCs/>
          <w:color w:val="000000"/>
        </w:rPr>
        <w:t>development</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across</w:t>
      </w:r>
      <w:proofErr w:type="spellEnd"/>
      <w:r w:rsidRPr="00A478F4">
        <w:rPr>
          <w:rFonts w:ascii="Times New Roman" w:hAnsi="Times New Roman" w:cs="Times New Roman"/>
          <w:i/>
          <w:iCs/>
          <w:color w:val="000000"/>
        </w:rPr>
        <w:t xml:space="preserve"> European </w:t>
      </w:r>
      <w:proofErr w:type="spellStart"/>
      <w:r w:rsidRPr="00A478F4">
        <w:rPr>
          <w:rFonts w:ascii="Times New Roman" w:hAnsi="Times New Roman" w:cs="Times New Roman"/>
          <w:i/>
          <w:iCs/>
          <w:color w:val="000000"/>
        </w:rPr>
        <w:t>countries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using</w:t>
      </w:r>
      <w:proofErr w:type="spellEnd"/>
      <w:r w:rsidRPr="00A478F4">
        <w:rPr>
          <w:rFonts w:ascii="Times New Roman" w:hAnsi="Times New Roman" w:cs="Times New Roman"/>
          <w:i/>
          <w:iCs/>
          <w:color w:val="000000"/>
        </w:rPr>
        <w:t xml:space="preserve"> a </w:t>
      </w:r>
      <w:proofErr w:type="spellStart"/>
      <w:r w:rsidRPr="00A478F4">
        <w:rPr>
          <w:rFonts w:ascii="Times New Roman" w:hAnsi="Times New Roman" w:cs="Times New Roman"/>
          <w:i/>
          <w:iCs/>
          <w:color w:val="000000"/>
        </w:rPr>
        <w:t>quantitative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multivariate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regression</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approach</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Focusing</w:t>
      </w:r>
      <w:proofErr w:type="spellEnd"/>
      <w:r w:rsidRPr="00A478F4">
        <w:rPr>
          <w:rFonts w:ascii="Times New Roman" w:hAnsi="Times New Roman" w:cs="Times New Roman"/>
          <w:i/>
          <w:iCs/>
          <w:color w:val="000000"/>
        </w:rPr>
        <w:t xml:space="preserve"> on </w:t>
      </w:r>
      <w:proofErr w:type="spellStart"/>
      <w:r w:rsidRPr="00A478F4">
        <w:rPr>
          <w:rFonts w:ascii="Times New Roman" w:hAnsi="Times New Roman" w:cs="Times New Roman"/>
          <w:i/>
          <w:iCs/>
          <w:color w:val="000000"/>
        </w:rPr>
        <w:t>the</w:t>
      </w:r>
      <w:proofErr w:type="spellEnd"/>
      <w:r w:rsidRPr="00A478F4">
        <w:rPr>
          <w:rFonts w:ascii="Times New Roman" w:hAnsi="Times New Roman" w:cs="Times New Roman"/>
          <w:i/>
          <w:iCs/>
          <w:color w:val="000000"/>
        </w:rPr>
        <w:t xml:space="preserve"> total </w:t>
      </w:r>
      <w:proofErr w:type="spellStart"/>
      <w:r w:rsidRPr="00A478F4">
        <w:rPr>
          <w:rFonts w:ascii="Times New Roman" w:hAnsi="Times New Roman" w:cs="Times New Roman"/>
          <w:i/>
          <w:iCs/>
          <w:color w:val="000000"/>
        </w:rPr>
        <w:t>value</w:t>
      </w:r>
      <w:proofErr w:type="spellEnd"/>
      <w:r w:rsidRPr="00A478F4">
        <w:rPr>
          <w:rFonts w:ascii="Times New Roman" w:hAnsi="Times New Roman" w:cs="Times New Roman"/>
          <w:i/>
          <w:iCs/>
          <w:color w:val="000000"/>
        </w:rPr>
        <w:t xml:space="preserve"> of capital </w:t>
      </w:r>
      <w:proofErr w:type="spellStart"/>
      <w:r w:rsidRPr="00A478F4">
        <w:rPr>
          <w:rFonts w:ascii="Times New Roman" w:hAnsi="Times New Roman" w:cs="Times New Roman"/>
          <w:i/>
          <w:iCs/>
          <w:color w:val="000000"/>
        </w:rPr>
        <w:t>invested</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and</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the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number</w:t>
      </w:r>
      <w:proofErr w:type="spellEnd"/>
      <w:r w:rsidRPr="00A478F4">
        <w:rPr>
          <w:rFonts w:ascii="Times New Roman" w:hAnsi="Times New Roman" w:cs="Times New Roman"/>
          <w:i/>
          <w:iCs/>
          <w:color w:val="000000"/>
        </w:rPr>
        <w:t xml:space="preserve"> of PPP </w:t>
      </w:r>
      <w:proofErr w:type="spellStart"/>
      <w:r w:rsidRPr="00A478F4">
        <w:rPr>
          <w:rFonts w:ascii="Times New Roman" w:hAnsi="Times New Roman" w:cs="Times New Roman"/>
          <w:i/>
          <w:iCs/>
          <w:color w:val="000000"/>
        </w:rPr>
        <w:t>projects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the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analysis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draws</w:t>
      </w:r>
      <w:proofErr w:type="spellEnd"/>
      <w:r w:rsidRPr="00A478F4">
        <w:rPr>
          <w:rFonts w:ascii="Times New Roman" w:hAnsi="Times New Roman" w:cs="Times New Roman"/>
          <w:i/>
          <w:iCs/>
          <w:color w:val="000000"/>
        </w:rPr>
        <w:t xml:space="preserve"> on </w:t>
      </w:r>
      <w:proofErr w:type="spellStart"/>
      <w:r w:rsidRPr="00A478F4">
        <w:rPr>
          <w:rFonts w:ascii="Times New Roman" w:hAnsi="Times New Roman" w:cs="Times New Roman"/>
          <w:i/>
          <w:iCs/>
          <w:color w:val="000000"/>
        </w:rPr>
        <w:t>official</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Eurostat</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and</w:t>
      </w:r>
      <w:proofErr w:type="spellEnd"/>
      <w:r w:rsidRPr="00A478F4">
        <w:rPr>
          <w:rFonts w:ascii="Times New Roman" w:hAnsi="Times New Roman" w:cs="Times New Roman"/>
          <w:i/>
          <w:iCs/>
          <w:color w:val="000000"/>
        </w:rPr>
        <w:t xml:space="preserve"> PPP </w:t>
      </w:r>
      <w:proofErr w:type="spellStart"/>
      <w:r w:rsidRPr="00A478F4">
        <w:rPr>
          <w:rFonts w:ascii="Times New Roman" w:hAnsi="Times New Roman" w:cs="Times New Roman"/>
          <w:i/>
          <w:iCs/>
          <w:color w:val="000000"/>
        </w:rPr>
        <w:t>database</w:t>
      </w:r>
      <w:proofErr w:type="spellEnd"/>
      <w:r w:rsidRPr="00A478F4">
        <w:rPr>
          <w:rFonts w:ascii="Times New Roman" w:hAnsi="Times New Roman" w:cs="Times New Roman"/>
          <w:i/>
          <w:iCs/>
          <w:color w:val="000000"/>
        </w:rPr>
        <w:t xml:space="preserve"> data for 2012–2024. </w:t>
      </w:r>
      <w:proofErr w:type="spellStart"/>
      <w:r w:rsidRPr="00A478F4">
        <w:rPr>
          <w:rFonts w:ascii="Times New Roman" w:hAnsi="Times New Roman" w:cs="Times New Roman"/>
          <w:i/>
          <w:iCs/>
          <w:color w:val="000000"/>
        </w:rPr>
        <w:t>Results</w:t>
      </w:r>
      <w:proofErr w:type="spellEnd"/>
      <w:r w:rsidRPr="00A478F4">
        <w:rPr>
          <w:rFonts w:ascii="Times New Roman" w:hAnsi="Times New Roman" w:cs="Times New Roman"/>
          <w:i/>
          <w:iCs/>
          <w:color w:val="000000"/>
        </w:rPr>
        <w:t xml:space="preserve"> show </w:t>
      </w:r>
      <w:proofErr w:type="spellStart"/>
      <w:r w:rsidRPr="00A478F4">
        <w:rPr>
          <w:rFonts w:ascii="Times New Roman" w:hAnsi="Times New Roman" w:cs="Times New Roman"/>
          <w:i/>
          <w:iCs/>
          <w:color w:val="000000"/>
        </w:rPr>
        <w:t>that</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the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number</w:t>
      </w:r>
      <w:proofErr w:type="spellEnd"/>
      <w:r w:rsidRPr="00A478F4">
        <w:rPr>
          <w:rFonts w:ascii="Times New Roman" w:hAnsi="Times New Roman" w:cs="Times New Roman"/>
          <w:i/>
          <w:iCs/>
          <w:color w:val="000000"/>
        </w:rPr>
        <w:t xml:space="preserve"> of PPP </w:t>
      </w:r>
      <w:proofErr w:type="spellStart"/>
      <w:r w:rsidRPr="00A478F4">
        <w:rPr>
          <w:rFonts w:ascii="Times New Roman" w:hAnsi="Times New Roman" w:cs="Times New Roman"/>
          <w:i/>
          <w:iCs/>
          <w:color w:val="000000"/>
        </w:rPr>
        <w:t>projects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is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the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strongest</w:t>
      </w:r>
      <w:proofErr w:type="spellEnd"/>
      <w:r w:rsidRPr="00A478F4">
        <w:rPr>
          <w:rFonts w:ascii="Times New Roman" w:hAnsi="Times New Roman" w:cs="Times New Roman"/>
          <w:i/>
          <w:iCs/>
          <w:color w:val="000000"/>
        </w:rPr>
        <w:t xml:space="preserve"> determinant of capital </w:t>
      </w:r>
      <w:proofErr w:type="spellStart"/>
      <w:r w:rsidRPr="00A478F4">
        <w:rPr>
          <w:rFonts w:ascii="Times New Roman" w:hAnsi="Times New Roman" w:cs="Times New Roman"/>
          <w:i/>
          <w:iCs/>
          <w:color w:val="000000"/>
        </w:rPr>
        <w:t>mobilization</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highlighting</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the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importance</w:t>
      </w:r>
      <w:proofErr w:type="spellEnd"/>
      <w:r w:rsidRPr="00A478F4">
        <w:rPr>
          <w:rFonts w:ascii="Times New Roman" w:hAnsi="Times New Roman" w:cs="Times New Roman"/>
          <w:i/>
          <w:iCs/>
          <w:color w:val="000000"/>
        </w:rPr>
        <w:t xml:space="preserve"> of </w:t>
      </w:r>
      <w:proofErr w:type="spellStart"/>
      <w:r w:rsidRPr="00A478F4">
        <w:rPr>
          <w:rFonts w:ascii="Times New Roman" w:hAnsi="Times New Roman" w:cs="Times New Roman"/>
          <w:i/>
          <w:iCs/>
          <w:color w:val="000000"/>
        </w:rPr>
        <w:t>implementation</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intensity</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and</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institutional</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capacity</w:t>
      </w:r>
      <w:proofErr w:type="spellEnd"/>
      <w:r w:rsidRPr="00A478F4">
        <w:rPr>
          <w:rFonts w:ascii="Times New Roman" w:hAnsi="Times New Roman" w:cs="Times New Roman"/>
          <w:i/>
          <w:iCs/>
          <w:color w:val="000000"/>
        </w:rPr>
        <w:t xml:space="preserve"> in </w:t>
      </w:r>
      <w:proofErr w:type="spellStart"/>
      <w:r w:rsidRPr="00A478F4">
        <w:rPr>
          <w:rFonts w:ascii="Times New Roman" w:hAnsi="Times New Roman" w:cs="Times New Roman"/>
          <w:i/>
          <w:iCs/>
          <w:color w:val="000000"/>
        </w:rPr>
        <w:t>attracting</w:t>
      </w:r>
      <w:proofErr w:type="spellEnd"/>
      <w:r w:rsidRPr="00A478F4">
        <w:rPr>
          <w:rFonts w:ascii="Times New Roman" w:hAnsi="Times New Roman" w:cs="Times New Roman"/>
          <w:i/>
          <w:iCs/>
          <w:color w:val="000000"/>
        </w:rPr>
        <w:t xml:space="preserve"> private </w:t>
      </w:r>
      <w:proofErr w:type="spellStart"/>
      <w:r w:rsidRPr="00A478F4">
        <w:rPr>
          <w:rFonts w:ascii="Times New Roman" w:hAnsi="Times New Roman" w:cs="Times New Roman"/>
          <w:i/>
          <w:iCs/>
          <w:color w:val="000000"/>
        </w:rPr>
        <w:t>investment</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Other</w:t>
      </w:r>
      <w:proofErr w:type="spellEnd"/>
      <w:r w:rsidRPr="00A478F4">
        <w:rPr>
          <w:rFonts w:ascii="Times New Roman" w:hAnsi="Times New Roman" w:cs="Times New Roman"/>
          <w:i/>
          <w:iCs/>
          <w:color w:val="000000"/>
        </w:rPr>
        <w:t xml:space="preserve"> macroeconomic </w:t>
      </w:r>
      <w:proofErr w:type="spellStart"/>
      <w:r w:rsidRPr="00A478F4">
        <w:rPr>
          <w:rFonts w:ascii="Times New Roman" w:hAnsi="Times New Roman" w:cs="Times New Roman"/>
          <w:i/>
          <w:iCs/>
          <w:color w:val="000000"/>
        </w:rPr>
        <w:t>variables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such</w:t>
      </w:r>
      <w:proofErr w:type="spellEnd"/>
      <w:r w:rsidRPr="00A478F4">
        <w:rPr>
          <w:rFonts w:ascii="Times New Roman" w:hAnsi="Times New Roman" w:cs="Times New Roman"/>
          <w:i/>
          <w:iCs/>
          <w:color w:val="000000"/>
        </w:rPr>
        <w:t xml:space="preserve"> as GDP per </w:t>
      </w:r>
      <w:proofErr w:type="spellStart"/>
      <w:r w:rsidRPr="00A478F4">
        <w:rPr>
          <w:rFonts w:ascii="Times New Roman" w:hAnsi="Times New Roman" w:cs="Times New Roman"/>
          <w:i/>
          <w:iCs/>
          <w:color w:val="000000"/>
        </w:rPr>
        <w:t>capita</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growth</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unemployment</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investment</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share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and</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labor</w:t>
      </w:r>
      <w:proofErr w:type="spellEnd"/>
      <w:r w:rsidRPr="00A478F4">
        <w:rPr>
          <w:rFonts w:ascii="Times New Roman" w:hAnsi="Times New Roman" w:cs="Times New Roman"/>
          <w:i/>
          <w:iCs/>
          <w:color w:val="000000"/>
        </w:rPr>
        <w:t xml:space="preserve"> quality, </w:t>
      </w:r>
      <w:proofErr w:type="spellStart"/>
      <w:r w:rsidRPr="00A478F4">
        <w:rPr>
          <w:rFonts w:ascii="Times New Roman" w:hAnsi="Times New Roman" w:cs="Times New Roman"/>
          <w:i/>
          <w:iCs/>
          <w:color w:val="000000"/>
        </w:rPr>
        <w:t>exhibit</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weak</w:t>
      </w:r>
      <w:proofErr w:type="spellEnd"/>
      <w:r w:rsidRPr="00A478F4">
        <w:rPr>
          <w:rFonts w:ascii="Times New Roman" w:hAnsi="Times New Roman" w:cs="Times New Roman"/>
          <w:i/>
          <w:iCs/>
          <w:color w:val="000000"/>
        </w:rPr>
        <w:t xml:space="preserve"> individual </w:t>
      </w:r>
      <w:proofErr w:type="spellStart"/>
      <w:r w:rsidRPr="00A478F4">
        <w:rPr>
          <w:rFonts w:ascii="Times New Roman" w:hAnsi="Times New Roman" w:cs="Times New Roman"/>
          <w:i/>
          <w:iCs/>
          <w:color w:val="000000"/>
        </w:rPr>
        <w:t>effects</w:t>
      </w:r>
      <w:proofErr w:type="spellEnd"/>
      <w:r w:rsidRPr="00A478F4">
        <w:rPr>
          <w:rFonts w:ascii="Times New Roman" w:hAnsi="Times New Roman" w:cs="Times New Roman"/>
          <w:i/>
          <w:iCs/>
          <w:color w:val="000000"/>
        </w:rPr>
        <w:t xml:space="preserve"> but </w:t>
      </w:r>
      <w:proofErr w:type="spellStart"/>
      <w:r w:rsidRPr="00A478F4">
        <w:rPr>
          <w:rFonts w:ascii="Times New Roman" w:hAnsi="Times New Roman" w:cs="Times New Roman"/>
          <w:i/>
          <w:iCs/>
          <w:color w:val="000000"/>
        </w:rPr>
        <w:t>contribute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to</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the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model’s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overall</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explanatory</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power</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Residual</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analysis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indicates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the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influence</w:t>
      </w:r>
      <w:proofErr w:type="spellEnd"/>
      <w:r w:rsidRPr="00A478F4">
        <w:rPr>
          <w:rFonts w:ascii="Times New Roman" w:hAnsi="Times New Roman" w:cs="Times New Roman"/>
          <w:i/>
          <w:iCs/>
          <w:color w:val="000000"/>
        </w:rPr>
        <w:t xml:space="preserve"> of country-specific </w:t>
      </w:r>
      <w:proofErr w:type="spellStart"/>
      <w:r w:rsidRPr="00A478F4">
        <w:rPr>
          <w:rFonts w:ascii="Times New Roman" w:hAnsi="Times New Roman" w:cs="Times New Roman"/>
          <w:i/>
          <w:iCs/>
          <w:color w:val="000000"/>
        </w:rPr>
        <w:t>institutional</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and</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governance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factors</w:t>
      </w:r>
      <w:proofErr w:type="spellEnd"/>
      <w:r w:rsidRPr="00A478F4">
        <w:rPr>
          <w:rFonts w:ascii="Times New Roman" w:hAnsi="Times New Roman" w:cs="Times New Roman"/>
          <w:i/>
          <w:iCs/>
          <w:color w:val="000000"/>
        </w:rPr>
        <w:t xml:space="preserve">. The </w:t>
      </w:r>
      <w:proofErr w:type="spellStart"/>
      <w:r w:rsidRPr="00A478F4">
        <w:rPr>
          <w:rFonts w:ascii="Times New Roman" w:hAnsi="Times New Roman" w:cs="Times New Roman"/>
          <w:i/>
          <w:iCs/>
          <w:color w:val="000000"/>
        </w:rPr>
        <w:t>findings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underscore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the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value</w:t>
      </w:r>
      <w:proofErr w:type="spellEnd"/>
      <w:r w:rsidRPr="00A478F4">
        <w:rPr>
          <w:rFonts w:ascii="Times New Roman" w:hAnsi="Times New Roman" w:cs="Times New Roman"/>
          <w:i/>
          <w:iCs/>
          <w:color w:val="000000"/>
        </w:rPr>
        <w:t xml:space="preserve"> of </w:t>
      </w:r>
      <w:proofErr w:type="spellStart"/>
      <w:r w:rsidRPr="00A478F4">
        <w:rPr>
          <w:rFonts w:ascii="Times New Roman" w:hAnsi="Times New Roman" w:cs="Times New Roman"/>
          <w:i/>
          <w:iCs/>
          <w:color w:val="000000"/>
        </w:rPr>
        <w:t>PPPs</w:t>
      </w:r>
      <w:proofErr w:type="spellEnd"/>
      <w:r w:rsidRPr="00A478F4">
        <w:rPr>
          <w:rFonts w:ascii="Times New Roman" w:hAnsi="Times New Roman" w:cs="Times New Roman"/>
          <w:i/>
          <w:iCs/>
          <w:color w:val="000000"/>
        </w:rPr>
        <w:t xml:space="preserve"> as </w:t>
      </w:r>
      <w:proofErr w:type="spellStart"/>
      <w:r w:rsidRPr="00A478F4">
        <w:rPr>
          <w:rFonts w:ascii="Times New Roman" w:hAnsi="Times New Roman" w:cs="Times New Roman"/>
          <w:i/>
          <w:iCs/>
          <w:color w:val="000000"/>
        </w:rPr>
        <w:t>instruments</w:t>
      </w:r>
      <w:proofErr w:type="spellEnd"/>
      <w:r w:rsidRPr="00A478F4">
        <w:rPr>
          <w:rFonts w:ascii="Times New Roman" w:hAnsi="Times New Roman" w:cs="Times New Roman"/>
          <w:i/>
          <w:iCs/>
          <w:color w:val="000000"/>
        </w:rPr>
        <w:t xml:space="preserve"> for </w:t>
      </w:r>
      <w:proofErr w:type="spellStart"/>
      <w:r w:rsidRPr="00A478F4">
        <w:rPr>
          <w:rFonts w:ascii="Times New Roman" w:hAnsi="Times New Roman" w:cs="Times New Roman"/>
          <w:i/>
          <w:iCs/>
          <w:color w:val="000000"/>
        </w:rPr>
        <w:t>fostering</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investment</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and</w:t>
      </w:r>
      <w:proofErr w:type="spellEnd"/>
      <w:r w:rsidRPr="00A478F4">
        <w:rPr>
          <w:rFonts w:ascii="Times New Roman" w:hAnsi="Times New Roman" w:cs="Times New Roman"/>
          <w:i/>
          <w:iCs/>
          <w:color w:val="000000"/>
        </w:rPr>
        <w:t xml:space="preserve"> local </w:t>
      </w:r>
      <w:proofErr w:type="spellStart"/>
      <w:r w:rsidRPr="00A478F4">
        <w:rPr>
          <w:rFonts w:ascii="Times New Roman" w:hAnsi="Times New Roman" w:cs="Times New Roman"/>
          <w:i/>
          <w:iCs/>
          <w:color w:val="000000"/>
        </w:rPr>
        <w:t>development</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providing</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empirical</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evidence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to</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guide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policymakers</w:t>
      </w:r>
      <w:proofErr w:type="spellEnd"/>
      <w:r w:rsidRPr="00A478F4">
        <w:rPr>
          <w:rFonts w:ascii="Times New Roman" w:hAnsi="Times New Roman" w:cs="Times New Roman"/>
          <w:i/>
          <w:iCs/>
          <w:color w:val="000000"/>
        </w:rPr>
        <w:t xml:space="preserve"> in </w:t>
      </w:r>
      <w:proofErr w:type="spellStart"/>
      <w:r w:rsidRPr="00A478F4">
        <w:rPr>
          <w:rFonts w:ascii="Times New Roman" w:hAnsi="Times New Roman" w:cs="Times New Roman"/>
          <w:i/>
          <w:iCs/>
          <w:color w:val="000000"/>
        </w:rPr>
        <w:t>designing</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effective</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frameworks</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that</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enhance</w:t>
      </w:r>
      <w:proofErr w:type="spellEnd"/>
      <w:r w:rsidRPr="00A478F4">
        <w:rPr>
          <w:rFonts w:ascii="Times New Roman" w:hAnsi="Times New Roman" w:cs="Times New Roman"/>
          <w:i/>
          <w:iCs/>
          <w:color w:val="000000"/>
        </w:rPr>
        <w:t xml:space="preserve"> PPP </w:t>
      </w:r>
      <w:proofErr w:type="spellStart"/>
      <w:r w:rsidRPr="00A478F4">
        <w:rPr>
          <w:rFonts w:ascii="Times New Roman" w:hAnsi="Times New Roman" w:cs="Times New Roman"/>
          <w:i/>
          <w:iCs/>
          <w:color w:val="000000"/>
        </w:rPr>
        <w:t>efficiency</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and</w:t>
      </w:r>
      <w:proofErr w:type="spellEnd"/>
      <w:r w:rsidRPr="00A478F4">
        <w:rPr>
          <w:rFonts w:ascii="Times New Roman" w:hAnsi="Times New Roman" w:cs="Times New Roman"/>
          <w:i/>
          <w:iCs/>
          <w:color w:val="000000"/>
        </w:rPr>
        <w:t xml:space="preserve"> </w:t>
      </w:r>
      <w:proofErr w:type="spellStart"/>
      <w:r w:rsidRPr="00A478F4">
        <w:rPr>
          <w:rFonts w:ascii="Times New Roman" w:hAnsi="Times New Roman" w:cs="Times New Roman"/>
          <w:i/>
          <w:iCs/>
          <w:color w:val="000000"/>
        </w:rPr>
        <w:t>outcomes</w:t>
      </w:r>
      <w:proofErr w:type="spellEnd"/>
      <w:r w:rsidRPr="00A478F4">
        <w:rPr>
          <w:rFonts w:ascii="Times New Roman" w:hAnsi="Times New Roman" w:cs="Times New Roman"/>
          <w:i/>
          <w:iCs/>
          <w:color w:val="000000"/>
        </w:rPr>
        <w:t>.</w:t>
      </w:r>
    </w:p>
    <w:p w14:paraId="25FF1C70" w14:textId="77777777" w:rsidR="00A478F4" w:rsidRPr="00A478F4" w:rsidRDefault="00A478F4" w:rsidP="00A478F4">
      <w:pPr>
        <w:widowControl w:val="0"/>
        <w:autoSpaceDE w:val="0"/>
        <w:autoSpaceDN w:val="0"/>
        <w:adjustRightInd w:val="0"/>
        <w:spacing w:after="0" w:line="240" w:lineRule="auto"/>
        <w:jc w:val="both"/>
        <w:rPr>
          <w:rFonts w:ascii="Times New Roman" w:hAnsi="Times New Roman" w:cs="Times New Roman"/>
          <w:i/>
          <w:iCs/>
          <w:lang w:val="en-US"/>
        </w:rPr>
      </w:pPr>
    </w:p>
    <w:p w14:paraId="66BCBE55" w14:textId="1DD64F83" w:rsidR="00A478F4" w:rsidRPr="00A478F4" w:rsidRDefault="00511A8F" w:rsidP="00A478F4">
      <w:pPr>
        <w:widowControl w:val="0"/>
        <w:overflowPunct w:val="0"/>
        <w:autoSpaceDE w:val="0"/>
        <w:autoSpaceDN w:val="0"/>
        <w:adjustRightInd w:val="0"/>
        <w:spacing w:after="0" w:line="240" w:lineRule="auto"/>
        <w:jc w:val="both"/>
        <w:rPr>
          <w:rFonts w:ascii="Times New Roman" w:hAnsi="Times New Roman" w:cs="Times New Roman"/>
        </w:rPr>
      </w:pPr>
      <w:r w:rsidRPr="00E12008">
        <w:rPr>
          <w:rFonts w:ascii="Times New Roman" w:hAnsi="Times New Roman" w:cs="Times New Roman"/>
          <w:b/>
          <w:lang w:val="en-US"/>
        </w:rPr>
        <w:t xml:space="preserve">Key words: </w:t>
      </w:r>
      <w:r w:rsidR="0050703F">
        <w:rPr>
          <w:rFonts w:ascii="Times New Roman" w:hAnsi="Times New Roman" w:cs="Times New Roman"/>
          <w:lang w:val="en-US"/>
        </w:rPr>
        <w:t xml:space="preserve">PPP, Public Private Partnership, economic growth, </w:t>
      </w:r>
      <w:r w:rsidR="00E54B7E">
        <w:rPr>
          <w:rFonts w:ascii="Times New Roman" w:hAnsi="Times New Roman" w:cs="Times New Roman"/>
          <w:lang w:val="en-US"/>
        </w:rPr>
        <w:t xml:space="preserve">EU </w:t>
      </w:r>
      <w:r w:rsidR="0050703F">
        <w:rPr>
          <w:rFonts w:ascii="Times New Roman" w:hAnsi="Times New Roman" w:cs="Times New Roman"/>
          <w:lang w:val="en-US"/>
        </w:rPr>
        <w:t>framework</w:t>
      </w:r>
    </w:p>
    <w:p w14:paraId="2DF245EC" w14:textId="472DDEE2" w:rsidR="00511A8F" w:rsidRPr="00E12008" w:rsidRDefault="00511A8F" w:rsidP="00A478F4">
      <w:pPr>
        <w:widowControl w:val="0"/>
        <w:overflowPunct w:val="0"/>
        <w:autoSpaceDE w:val="0"/>
        <w:autoSpaceDN w:val="0"/>
        <w:adjustRightInd w:val="0"/>
        <w:spacing w:after="0" w:line="240" w:lineRule="auto"/>
        <w:jc w:val="both"/>
        <w:rPr>
          <w:rFonts w:ascii="Times New Roman" w:hAnsi="Times New Roman" w:cs="Times New Roman"/>
          <w:lang w:val="en-US"/>
        </w:rPr>
      </w:pPr>
      <w:r w:rsidRPr="00E12008">
        <w:rPr>
          <w:rFonts w:ascii="Times New Roman" w:hAnsi="Times New Roman" w:cs="Times New Roman"/>
          <w:b/>
          <w:lang w:val="en-US"/>
        </w:rPr>
        <w:t xml:space="preserve">J.E.L. classification: </w:t>
      </w:r>
      <w:r w:rsidR="0050703F">
        <w:rPr>
          <w:rFonts w:ascii="Times New Roman" w:hAnsi="Times New Roman" w:cs="Times New Roman"/>
          <w:lang w:val="en-US"/>
        </w:rPr>
        <w:t>H54, R11, C23,</w:t>
      </w:r>
    </w:p>
    <w:p w14:paraId="42713ED5" w14:textId="77777777" w:rsidR="00511A8F" w:rsidRPr="00E12008" w:rsidRDefault="00511A8F" w:rsidP="00A478F4">
      <w:pPr>
        <w:widowControl w:val="0"/>
        <w:overflowPunct w:val="0"/>
        <w:autoSpaceDE w:val="0"/>
        <w:autoSpaceDN w:val="0"/>
        <w:adjustRightInd w:val="0"/>
        <w:spacing w:after="0" w:line="240" w:lineRule="auto"/>
        <w:ind w:firstLine="245"/>
        <w:jc w:val="both"/>
        <w:rPr>
          <w:rFonts w:ascii="Times New Roman" w:hAnsi="Times New Roman" w:cs="Times New Roman"/>
          <w:lang w:val="en-US"/>
        </w:rPr>
      </w:pPr>
    </w:p>
    <w:p w14:paraId="0D8451E4" w14:textId="77777777" w:rsidR="00511A8F" w:rsidRPr="00E12008" w:rsidRDefault="00511A8F" w:rsidP="00A478F4">
      <w:pPr>
        <w:widowControl w:val="0"/>
        <w:overflowPunct w:val="0"/>
        <w:autoSpaceDE w:val="0"/>
        <w:autoSpaceDN w:val="0"/>
        <w:adjustRightInd w:val="0"/>
        <w:spacing w:after="0" w:line="240" w:lineRule="auto"/>
        <w:ind w:firstLine="245"/>
        <w:jc w:val="both"/>
        <w:rPr>
          <w:rFonts w:ascii="Times New Roman" w:hAnsi="Times New Roman" w:cs="Times New Roman"/>
          <w:lang w:val="en-US"/>
        </w:rPr>
      </w:pPr>
    </w:p>
    <w:p w14:paraId="28464982" w14:textId="77777777" w:rsidR="00511A8F" w:rsidRPr="00E12008" w:rsidRDefault="00511A8F" w:rsidP="00A478F4">
      <w:pPr>
        <w:widowControl w:val="0"/>
        <w:autoSpaceDE w:val="0"/>
        <w:autoSpaceDN w:val="0"/>
        <w:adjustRightInd w:val="0"/>
        <w:spacing w:after="0" w:line="240" w:lineRule="auto"/>
        <w:jc w:val="both"/>
        <w:rPr>
          <w:rFonts w:ascii="Times New Roman" w:hAnsi="Times New Roman" w:cs="Times New Roman"/>
          <w:lang w:val="en-US"/>
        </w:rPr>
      </w:pPr>
      <w:r w:rsidRPr="00E12008">
        <w:rPr>
          <w:rFonts w:ascii="Times New Roman" w:hAnsi="Times New Roman" w:cs="Times New Roman"/>
          <w:b/>
          <w:bCs/>
          <w:lang w:val="en-US"/>
        </w:rPr>
        <w:t>1. Introduction</w:t>
      </w:r>
    </w:p>
    <w:p w14:paraId="2B7EC41D" w14:textId="77777777" w:rsidR="00511A8F" w:rsidRPr="00E12008" w:rsidRDefault="00511A8F" w:rsidP="00A478F4">
      <w:pPr>
        <w:widowControl w:val="0"/>
        <w:autoSpaceDE w:val="0"/>
        <w:autoSpaceDN w:val="0"/>
        <w:adjustRightInd w:val="0"/>
        <w:spacing w:after="0" w:line="240" w:lineRule="auto"/>
        <w:jc w:val="both"/>
        <w:rPr>
          <w:rFonts w:ascii="Times New Roman" w:hAnsi="Times New Roman" w:cs="Times New Roman"/>
          <w:sz w:val="24"/>
          <w:szCs w:val="24"/>
          <w:lang w:val="en-US"/>
        </w:rPr>
      </w:pPr>
    </w:p>
    <w:p w14:paraId="0F132735" w14:textId="77777777" w:rsidR="00C459EA" w:rsidRPr="00A478F4" w:rsidRDefault="00C459EA" w:rsidP="00A478F4">
      <w:pPr>
        <w:widowControl w:val="0"/>
        <w:autoSpaceDE w:val="0"/>
        <w:autoSpaceDN w:val="0"/>
        <w:adjustRightInd w:val="0"/>
        <w:spacing w:after="0" w:line="240" w:lineRule="auto"/>
        <w:jc w:val="both"/>
        <w:rPr>
          <w:rFonts w:ascii="Times New Roman" w:hAnsi="Times New Roman" w:cs="Times New Roman"/>
          <w:lang w:val="en-US"/>
        </w:rPr>
      </w:pPr>
      <w:r w:rsidRPr="00A478F4">
        <w:rPr>
          <w:rFonts w:ascii="Times New Roman" w:hAnsi="Times New Roman" w:cs="Times New Roman"/>
          <w:lang w:val="en-US"/>
        </w:rPr>
        <w:t>Public–private partnerships (PPPs) have emerged as a key instrument for mobilizing private capital to support public infrastructure and local economic development. By combining public oversight with private sector efficiency, PPPs aim to enhance investment outcomes and foster sustainable growth. Despite their increasing use across Europe, the determinants of PPP effectiveness remain insufficiently quantified, particularly regarding the influence of macroeconomic, structural, and institutional factors.</w:t>
      </w:r>
    </w:p>
    <w:p w14:paraId="74841F41" w14:textId="41FD235E" w:rsidR="00511A8F" w:rsidRDefault="00C459EA" w:rsidP="00A478F4">
      <w:pPr>
        <w:widowControl w:val="0"/>
        <w:autoSpaceDE w:val="0"/>
        <w:autoSpaceDN w:val="0"/>
        <w:adjustRightInd w:val="0"/>
        <w:spacing w:after="0" w:line="240" w:lineRule="auto"/>
        <w:jc w:val="both"/>
        <w:rPr>
          <w:rFonts w:ascii="Times New Roman" w:hAnsi="Times New Roman" w:cs="Times New Roman"/>
          <w:lang w:val="en-US"/>
        </w:rPr>
      </w:pPr>
      <w:r w:rsidRPr="00A478F4">
        <w:rPr>
          <w:rFonts w:ascii="Times New Roman" w:hAnsi="Times New Roman" w:cs="Times New Roman"/>
          <w:lang w:val="en-US"/>
        </w:rPr>
        <w:t>This study employs a quantitative multivariate approach to assess the relationship between the number of PPP projects, total capital invested, and socio-economic conditions across European countries. Using official data from Eurostat and international PPP databases, the analysis provides empirical evidence on how PPP intensity drives investment volumes, offering insights relevant for policymakers and development practitioners.</w:t>
      </w:r>
    </w:p>
    <w:p w14:paraId="2742A8DD" w14:textId="77777777" w:rsidR="00A478F4" w:rsidRPr="00A478F4" w:rsidRDefault="00A478F4" w:rsidP="00A478F4">
      <w:pPr>
        <w:widowControl w:val="0"/>
        <w:autoSpaceDE w:val="0"/>
        <w:autoSpaceDN w:val="0"/>
        <w:adjustRightInd w:val="0"/>
        <w:spacing w:after="0" w:line="240" w:lineRule="auto"/>
        <w:jc w:val="both"/>
        <w:rPr>
          <w:rFonts w:ascii="Times New Roman" w:hAnsi="Times New Roman" w:cs="Times New Roman"/>
          <w:b/>
          <w:bCs/>
          <w:lang w:val="en-US"/>
        </w:rPr>
      </w:pPr>
    </w:p>
    <w:p w14:paraId="7E1783BB" w14:textId="08D3B137" w:rsidR="00A478F4" w:rsidRPr="00A478F4" w:rsidRDefault="00511A8F" w:rsidP="00A478F4">
      <w:pPr>
        <w:widowControl w:val="0"/>
        <w:autoSpaceDE w:val="0"/>
        <w:autoSpaceDN w:val="0"/>
        <w:adjustRightInd w:val="0"/>
        <w:spacing w:after="0" w:line="240" w:lineRule="auto"/>
        <w:jc w:val="both"/>
        <w:rPr>
          <w:rFonts w:ascii="Times New Roman" w:hAnsi="Times New Roman" w:cs="Times New Roman"/>
          <w:b/>
          <w:bCs/>
          <w:lang w:val="en-US"/>
        </w:rPr>
      </w:pPr>
      <w:r w:rsidRPr="00A478F4">
        <w:rPr>
          <w:rFonts w:ascii="Times New Roman" w:hAnsi="Times New Roman" w:cs="Times New Roman"/>
          <w:b/>
          <w:bCs/>
          <w:lang w:val="en-US"/>
        </w:rPr>
        <w:t xml:space="preserve">2. </w:t>
      </w:r>
      <w:r w:rsidR="00261C40" w:rsidRPr="00A478F4">
        <w:rPr>
          <w:rFonts w:ascii="Times New Roman" w:hAnsi="Times New Roman" w:cs="Times New Roman"/>
          <w:b/>
          <w:bCs/>
          <w:lang w:val="en-US"/>
        </w:rPr>
        <w:t>Literature review</w:t>
      </w:r>
    </w:p>
    <w:p w14:paraId="1DE3831C" w14:textId="77777777" w:rsidR="00490BF3" w:rsidRDefault="00490BF3" w:rsidP="0005329B">
      <w:pPr>
        <w:pStyle w:val="NormalWeb"/>
        <w:spacing w:before="0" w:beforeAutospacing="0" w:after="0" w:afterAutospacing="0"/>
        <w:jc w:val="both"/>
        <w:rPr>
          <w:color w:val="000000"/>
          <w:sz w:val="22"/>
          <w:szCs w:val="22"/>
          <w:lang w:val="en-US"/>
        </w:rPr>
      </w:pPr>
      <w:r w:rsidRPr="00490BF3">
        <w:rPr>
          <w:color w:val="000000"/>
          <w:sz w:val="22"/>
          <w:szCs w:val="22"/>
          <w:lang w:val="en-US"/>
        </w:rPr>
        <w:t xml:space="preserve">The Public Private Partnership is an institution of administrative law, being generally agreed as a form of long-term cooperation, which takes the form of a bilateral or multilateral contract, between a public authority and the private sector, with the aim of delivering public services in various fields, such as transport, infrastructure, environmental protection, </w:t>
      </w:r>
      <w:proofErr w:type="gramStart"/>
      <w:r w:rsidRPr="00490BF3">
        <w:rPr>
          <w:color w:val="000000"/>
          <w:sz w:val="22"/>
          <w:szCs w:val="22"/>
          <w:lang w:val="en-US"/>
        </w:rPr>
        <w:t>health</w:t>
      </w:r>
      <w:proofErr w:type="gramEnd"/>
      <w:r w:rsidRPr="00490BF3">
        <w:rPr>
          <w:color w:val="000000"/>
          <w:sz w:val="22"/>
          <w:szCs w:val="22"/>
          <w:lang w:val="en-US"/>
        </w:rPr>
        <w:t xml:space="preserve"> or education. It was found that although a series of good practices in the field have been developed, at the European level there is no regulatory unit on public-private partnership and no clear and concise definition of the concept.</w:t>
      </w:r>
    </w:p>
    <w:p w14:paraId="7CB15197" w14:textId="77777777" w:rsidR="00490BF3" w:rsidRDefault="00A478F4" w:rsidP="0005329B">
      <w:pPr>
        <w:pStyle w:val="NormalWeb"/>
        <w:spacing w:before="0" w:beforeAutospacing="0" w:after="0" w:afterAutospacing="0"/>
        <w:jc w:val="both"/>
        <w:rPr>
          <w:color w:val="000000"/>
          <w:sz w:val="22"/>
          <w:szCs w:val="22"/>
          <w:lang w:val="en-US"/>
        </w:rPr>
      </w:pPr>
      <w:r w:rsidRPr="00A478F4">
        <w:rPr>
          <w:color w:val="000000"/>
          <w:sz w:val="22"/>
          <w:szCs w:val="22"/>
        </w:rPr>
        <w:t>Regarding European legislation, although a series of best practice guidelines and regulatory frameworks have been developed over recent decades, there is currently</w:t>
      </w:r>
      <w:r w:rsidRPr="00A478F4">
        <w:rPr>
          <w:rStyle w:val="apple-converted-space"/>
          <w:color w:val="000000"/>
          <w:sz w:val="22"/>
          <w:szCs w:val="22"/>
        </w:rPr>
        <w:t> </w:t>
      </w:r>
      <w:r w:rsidRPr="00A478F4">
        <w:rPr>
          <w:rStyle w:val="Strong"/>
          <w:b w:val="0"/>
          <w:bCs w:val="0"/>
          <w:color w:val="000000"/>
          <w:sz w:val="22"/>
          <w:szCs w:val="22"/>
        </w:rPr>
        <w:t>no unified regulatory framework for public–private partnerships (PPPs) at the European Union level</w:t>
      </w:r>
      <w:r w:rsidRPr="00A478F4">
        <w:rPr>
          <w:b/>
          <w:bCs/>
          <w:color w:val="000000"/>
          <w:sz w:val="22"/>
          <w:szCs w:val="22"/>
        </w:rPr>
        <w:t>,</w:t>
      </w:r>
      <w:r w:rsidRPr="00A478F4">
        <w:rPr>
          <w:color w:val="000000"/>
          <w:sz w:val="22"/>
          <w:szCs w:val="22"/>
        </w:rPr>
        <w:t xml:space="preserve"> nor a single, operational definition of the concept. This lack of harmonization creates challenges in implementation, interpretation, and comparability across EU Member States.</w:t>
      </w:r>
      <w:r w:rsidRPr="00A478F4">
        <w:rPr>
          <w:color w:val="000000"/>
          <w:sz w:val="22"/>
          <w:szCs w:val="22"/>
          <w:lang w:val="en-US"/>
        </w:rPr>
        <w:t xml:space="preserve"> </w:t>
      </w:r>
      <w:proofErr w:type="gramStart"/>
      <w:r>
        <w:rPr>
          <w:color w:val="000000"/>
          <w:sz w:val="22"/>
          <w:szCs w:val="22"/>
          <w:lang w:val="en-US"/>
        </w:rPr>
        <w:t>However</w:t>
      </w:r>
      <w:proofErr w:type="gramEnd"/>
      <w:r>
        <w:rPr>
          <w:color w:val="000000"/>
          <w:sz w:val="22"/>
          <w:szCs w:val="22"/>
          <w:lang w:val="en-US"/>
        </w:rPr>
        <w:t xml:space="preserve"> t</w:t>
      </w:r>
      <w:r w:rsidRPr="00A478F4">
        <w:rPr>
          <w:color w:val="000000"/>
          <w:sz w:val="22"/>
          <w:szCs w:val="22"/>
        </w:rPr>
        <w:t xml:space="preserve">he European </w:t>
      </w:r>
      <w:r w:rsidRPr="00A478F4">
        <w:rPr>
          <w:color w:val="000000"/>
          <w:sz w:val="22"/>
          <w:szCs w:val="22"/>
        </w:rPr>
        <w:lastRenderedPageBreak/>
        <w:t>Commission defines public–private partnerships (PPPs) as “agreements between government and the private sector for the purpose of providing public infrastructure, community facilities, and related services” (Green Paper, 2004). More broadly, the concept of PPP has been associated with contracts that harness the private sector’s capital and innovative capacity to finance and manage long-term infrastructure projects, primarily to improve efficiency (ETF, 2020). Despite its widespread use, the term PPP encompasses a variety of interpretations, and a single, universally accepted definition remains elusive. Consequently, the literature presents a wide range of definitions, reflecting the diverse ways in which public–private partnerships are conceptualized and implemented.</w:t>
      </w:r>
    </w:p>
    <w:p w14:paraId="050EAC1F" w14:textId="399406A4" w:rsidR="00261C40" w:rsidRPr="00490BF3" w:rsidRDefault="00A478F4" w:rsidP="00490BF3">
      <w:pPr>
        <w:pStyle w:val="NormalWeb"/>
        <w:spacing w:before="0" w:beforeAutospacing="0"/>
        <w:jc w:val="both"/>
        <w:rPr>
          <w:color w:val="000000"/>
          <w:sz w:val="22"/>
          <w:szCs w:val="22"/>
          <w:lang w:val="en-US"/>
        </w:rPr>
      </w:pPr>
      <w:r w:rsidRPr="00A478F4">
        <w:rPr>
          <w:color w:val="000000"/>
          <w:sz w:val="22"/>
          <w:szCs w:val="22"/>
        </w:rPr>
        <w:t>Relave and Deich (2007, p. 8) argue that all effective public–private partnerships share common characteristics, including the</w:t>
      </w:r>
      <w:r w:rsidRPr="00A478F4">
        <w:rPr>
          <w:rStyle w:val="apple-converted-space"/>
          <w:color w:val="000000"/>
          <w:sz w:val="22"/>
          <w:szCs w:val="22"/>
        </w:rPr>
        <w:t> </w:t>
      </w:r>
      <w:r w:rsidRPr="00A478F4">
        <w:rPr>
          <w:rStyle w:val="Strong"/>
          <w:b w:val="0"/>
          <w:bCs w:val="0"/>
          <w:color w:val="000000"/>
          <w:sz w:val="22"/>
          <w:szCs w:val="22"/>
        </w:rPr>
        <w:t>collaboration of public and private sector representatives around shared objectives</w:t>
      </w:r>
      <w:r w:rsidRPr="00A478F4">
        <w:rPr>
          <w:color w:val="000000"/>
          <w:sz w:val="22"/>
          <w:szCs w:val="22"/>
        </w:rPr>
        <w:t>, the contribution of partners in terms of time, financial resources, expertise, or other assets toward common goals, and the</w:t>
      </w:r>
      <w:r w:rsidRPr="00A478F4">
        <w:rPr>
          <w:rStyle w:val="apple-converted-space"/>
          <w:color w:val="000000"/>
          <w:sz w:val="22"/>
          <w:szCs w:val="22"/>
        </w:rPr>
        <w:t> </w:t>
      </w:r>
      <w:r w:rsidRPr="00A478F4">
        <w:rPr>
          <w:rStyle w:val="Strong"/>
          <w:b w:val="0"/>
          <w:bCs w:val="0"/>
          <w:color w:val="000000"/>
          <w:sz w:val="22"/>
          <w:szCs w:val="22"/>
        </w:rPr>
        <w:t>allocation of decision-making authority and responsibilities</w:t>
      </w:r>
      <w:r w:rsidRPr="00A478F4">
        <w:rPr>
          <w:rStyle w:val="apple-converted-space"/>
          <w:b/>
          <w:bCs/>
          <w:color w:val="000000"/>
          <w:sz w:val="22"/>
          <w:szCs w:val="22"/>
        </w:rPr>
        <w:t> </w:t>
      </w:r>
      <w:r w:rsidRPr="00A478F4">
        <w:rPr>
          <w:color w:val="000000"/>
          <w:sz w:val="22"/>
          <w:szCs w:val="22"/>
        </w:rPr>
        <w:t>among partners.</w:t>
      </w:r>
      <w:r w:rsidRPr="00A478F4">
        <w:rPr>
          <w:color w:val="000000"/>
          <w:sz w:val="22"/>
          <w:szCs w:val="22"/>
          <w:lang w:val="en-US"/>
        </w:rPr>
        <w:t xml:space="preserve"> </w:t>
      </w:r>
      <w:r w:rsidRPr="00A478F4">
        <w:rPr>
          <w:color w:val="000000"/>
          <w:sz w:val="22"/>
          <w:szCs w:val="22"/>
        </w:rPr>
        <w:t>Such administrative contracts are attractive to governments and public organizations because they allow for</w:t>
      </w:r>
      <w:r w:rsidRPr="00A478F4">
        <w:rPr>
          <w:rStyle w:val="apple-converted-space"/>
          <w:color w:val="000000"/>
          <w:sz w:val="22"/>
          <w:szCs w:val="22"/>
        </w:rPr>
        <w:t> </w:t>
      </w:r>
      <w:r w:rsidRPr="00A478F4">
        <w:rPr>
          <w:rStyle w:val="Strong"/>
          <w:b w:val="0"/>
          <w:bCs w:val="0"/>
          <w:color w:val="000000"/>
          <w:sz w:val="22"/>
          <w:szCs w:val="22"/>
        </w:rPr>
        <w:t>risk and responsibility sharing</w:t>
      </w:r>
      <w:r w:rsidRPr="00A478F4">
        <w:rPr>
          <w:rStyle w:val="apple-converted-space"/>
          <w:b/>
          <w:bCs/>
          <w:color w:val="000000"/>
          <w:sz w:val="22"/>
          <w:szCs w:val="22"/>
        </w:rPr>
        <w:t> </w:t>
      </w:r>
      <w:r w:rsidRPr="00A478F4">
        <w:rPr>
          <w:color w:val="000000"/>
          <w:sz w:val="22"/>
          <w:szCs w:val="22"/>
        </w:rPr>
        <w:t>between the public and private sectors, while potentially enhancing</w:t>
      </w:r>
      <w:r w:rsidRPr="00A478F4">
        <w:rPr>
          <w:rStyle w:val="apple-converted-space"/>
          <w:color w:val="000000"/>
          <w:sz w:val="22"/>
          <w:szCs w:val="22"/>
        </w:rPr>
        <w:t> </w:t>
      </w:r>
      <w:r w:rsidRPr="00A478F4">
        <w:rPr>
          <w:rStyle w:val="Strong"/>
          <w:b w:val="0"/>
          <w:bCs w:val="0"/>
          <w:color w:val="000000"/>
          <w:sz w:val="22"/>
          <w:szCs w:val="22"/>
        </w:rPr>
        <w:t>efficiency and innovation</w:t>
      </w:r>
      <w:r w:rsidRPr="00A478F4">
        <w:rPr>
          <w:rStyle w:val="apple-converted-space"/>
          <w:color w:val="000000"/>
          <w:sz w:val="22"/>
          <w:szCs w:val="22"/>
        </w:rPr>
        <w:t> </w:t>
      </w:r>
      <w:r w:rsidRPr="00A478F4">
        <w:rPr>
          <w:color w:val="000000"/>
          <w:sz w:val="22"/>
          <w:szCs w:val="22"/>
        </w:rPr>
        <w:t>in project implementation. At the same time, private entities can benefit from</w:t>
      </w:r>
      <w:r w:rsidRPr="00A478F4">
        <w:rPr>
          <w:rStyle w:val="apple-converted-space"/>
          <w:color w:val="000000"/>
          <w:sz w:val="22"/>
          <w:szCs w:val="22"/>
        </w:rPr>
        <w:t> </w:t>
      </w:r>
      <w:r w:rsidRPr="00A478F4">
        <w:rPr>
          <w:rStyle w:val="Strong"/>
          <w:b w:val="0"/>
          <w:bCs w:val="0"/>
          <w:color w:val="000000"/>
          <w:sz w:val="22"/>
          <w:szCs w:val="22"/>
        </w:rPr>
        <w:t>business opportunities and profits</w:t>
      </w:r>
      <w:r w:rsidRPr="00A478F4">
        <w:rPr>
          <w:rStyle w:val="apple-converted-space"/>
          <w:b/>
          <w:bCs/>
          <w:color w:val="000000"/>
          <w:sz w:val="22"/>
          <w:szCs w:val="22"/>
        </w:rPr>
        <w:t> </w:t>
      </w:r>
      <w:r w:rsidRPr="00A478F4">
        <w:rPr>
          <w:color w:val="000000"/>
          <w:sz w:val="22"/>
          <w:szCs w:val="22"/>
        </w:rPr>
        <w:t>generated by PPP projects. Partnerships in the construction sector, for example, involve collaboration between the public and private sectors to finance and build infrastructure such as highways, bridges, schools, hospitals, and recreational facilities (Constantinescu, 2012). PPPs thus represent a</w:t>
      </w:r>
      <w:r w:rsidRPr="00A478F4">
        <w:rPr>
          <w:rStyle w:val="apple-converted-space"/>
          <w:color w:val="000000"/>
          <w:sz w:val="22"/>
          <w:szCs w:val="22"/>
        </w:rPr>
        <w:t> </w:t>
      </w:r>
      <w:r w:rsidRPr="00A478F4">
        <w:rPr>
          <w:rStyle w:val="Strong"/>
          <w:b w:val="0"/>
          <w:bCs w:val="0"/>
          <w:color w:val="000000"/>
          <w:sz w:val="22"/>
          <w:szCs w:val="22"/>
        </w:rPr>
        <w:t>collaborative instrument aimed at improving public services</w:t>
      </w:r>
      <w:r w:rsidRPr="00A478F4">
        <w:rPr>
          <w:rStyle w:val="apple-converted-space"/>
          <w:b/>
          <w:bCs/>
          <w:color w:val="000000"/>
          <w:sz w:val="22"/>
          <w:szCs w:val="22"/>
        </w:rPr>
        <w:t> </w:t>
      </w:r>
      <w:r w:rsidRPr="00A478F4">
        <w:rPr>
          <w:color w:val="000000"/>
          <w:sz w:val="22"/>
          <w:szCs w:val="22"/>
        </w:rPr>
        <w:t>(Institute for Public Policy, 2004).</w:t>
      </w:r>
    </w:p>
    <w:p w14:paraId="3381D895" w14:textId="64642AB0" w:rsidR="00261C40" w:rsidRDefault="00261C40" w:rsidP="00A478F4">
      <w:pPr>
        <w:widowControl w:val="0"/>
        <w:autoSpaceDE w:val="0"/>
        <w:autoSpaceDN w:val="0"/>
        <w:adjustRightInd w:val="0"/>
        <w:spacing w:after="0" w:line="240" w:lineRule="auto"/>
        <w:jc w:val="both"/>
        <w:rPr>
          <w:rFonts w:ascii="Times New Roman" w:hAnsi="Times New Roman" w:cs="Times New Roman"/>
          <w:b/>
          <w:bCs/>
          <w:lang w:val="en-US"/>
        </w:rPr>
      </w:pPr>
      <w:r>
        <w:rPr>
          <w:rFonts w:ascii="Times New Roman" w:hAnsi="Times New Roman" w:cs="Times New Roman"/>
          <w:b/>
          <w:bCs/>
          <w:lang w:val="en-US"/>
        </w:rPr>
        <w:t>3. Research methodology</w:t>
      </w:r>
    </w:p>
    <w:p w14:paraId="71C69E64" w14:textId="77777777" w:rsidR="00261C40" w:rsidRDefault="00261C40" w:rsidP="00A478F4">
      <w:pPr>
        <w:widowControl w:val="0"/>
        <w:autoSpaceDE w:val="0"/>
        <w:autoSpaceDN w:val="0"/>
        <w:adjustRightInd w:val="0"/>
        <w:spacing w:after="0" w:line="240" w:lineRule="auto"/>
        <w:jc w:val="both"/>
        <w:rPr>
          <w:rFonts w:ascii="Times New Roman" w:hAnsi="Times New Roman" w:cs="Times New Roman"/>
          <w:b/>
          <w:bCs/>
          <w:lang w:val="en-US"/>
        </w:rPr>
      </w:pPr>
    </w:p>
    <w:p w14:paraId="5EA07188" w14:textId="77777777" w:rsidR="00DF7CCE" w:rsidRPr="00DF7CCE" w:rsidRDefault="00DF7CCE" w:rsidP="00A478F4">
      <w:pPr>
        <w:widowControl w:val="0"/>
        <w:autoSpaceDE w:val="0"/>
        <w:autoSpaceDN w:val="0"/>
        <w:adjustRightInd w:val="0"/>
        <w:spacing w:after="0" w:line="240" w:lineRule="auto"/>
        <w:jc w:val="both"/>
        <w:rPr>
          <w:rFonts w:ascii="Times New Roman" w:hAnsi="Times New Roman" w:cs="Times New Roman"/>
          <w:lang w:val="en-US"/>
        </w:rPr>
      </w:pPr>
      <w:proofErr w:type="gramStart"/>
      <w:r w:rsidRPr="00DF7CCE">
        <w:rPr>
          <w:rFonts w:ascii="Times New Roman" w:hAnsi="Times New Roman" w:cs="Times New Roman"/>
          <w:lang w:val="en-US"/>
        </w:rPr>
        <w:t>In order to</w:t>
      </w:r>
      <w:proofErr w:type="gramEnd"/>
      <w:r w:rsidRPr="00DF7CCE">
        <w:rPr>
          <w:rFonts w:ascii="Times New Roman" w:hAnsi="Times New Roman" w:cs="Times New Roman"/>
          <w:lang w:val="en-US"/>
        </w:rPr>
        <w:t xml:space="preserve"> outline a comprehensive picture of the relationship between the value of contracts concluded under public–private partnerships and the </w:t>
      </w:r>
      <w:proofErr w:type="spellStart"/>
      <w:r w:rsidRPr="00DF7CCE">
        <w:rPr>
          <w:rFonts w:ascii="Times New Roman" w:hAnsi="Times New Roman" w:cs="Times New Roman"/>
          <w:lang w:val="en-US"/>
        </w:rPr>
        <w:t>favourable</w:t>
      </w:r>
      <w:proofErr w:type="spellEnd"/>
      <w:r w:rsidRPr="00DF7CCE">
        <w:rPr>
          <w:rFonts w:ascii="Times New Roman" w:hAnsi="Times New Roman" w:cs="Times New Roman"/>
          <w:lang w:val="en-US"/>
        </w:rPr>
        <w:t xml:space="preserve"> socio-economic context of the EU Member States and the United Kingdom, the present study employs quantitative research and data analysis methods.</w:t>
      </w:r>
    </w:p>
    <w:p w14:paraId="4C3052F6" w14:textId="77777777" w:rsidR="00DF7CCE" w:rsidRPr="00DF7CCE" w:rsidRDefault="00DF7CCE" w:rsidP="00A478F4">
      <w:pPr>
        <w:widowControl w:val="0"/>
        <w:autoSpaceDE w:val="0"/>
        <w:autoSpaceDN w:val="0"/>
        <w:adjustRightInd w:val="0"/>
        <w:spacing w:after="0" w:line="240" w:lineRule="auto"/>
        <w:jc w:val="both"/>
        <w:rPr>
          <w:rFonts w:ascii="Times New Roman" w:hAnsi="Times New Roman" w:cs="Times New Roman"/>
          <w:lang w:val="en-US"/>
        </w:rPr>
      </w:pPr>
      <w:r w:rsidRPr="00DF7CCE">
        <w:rPr>
          <w:rFonts w:ascii="Times New Roman" w:hAnsi="Times New Roman" w:cs="Times New Roman"/>
          <w:lang w:val="en-US"/>
        </w:rPr>
        <w:t xml:space="preserve">Within the conducted analysis, multivariate linear regression was applied to test the existence of a causal relationship between the value of public–private partnership (PPP) contracts and </w:t>
      </w:r>
      <w:proofErr w:type="spellStart"/>
      <w:r w:rsidRPr="00DF7CCE">
        <w:rPr>
          <w:rFonts w:ascii="Times New Roman" w:hAnsi="Times New Roman" w:cs="Times New Roman"/>
          <w:lang w:val="en-US"/>
        </w:rPr>
        <w:t>favourable</w:t>
      </w:r>
      <w:proofErr w:type="spellEnd"/>
      <w:r w:rsidRPr="00DF7CCE">
        <w:rPr>
          <w:rFonts w:ascii="Times New Roman" w:hAnsi="Times New Roman" w:cs="Times New Roman"/>
          <w:lang w:val="en-US"/>
        </w:rPr>
        <w:t xml:space="preserve"> socio-economic conditions in the Member States of the European Union, including the United Kingdom. This analytical approach aims to enhance the understanding of how the socio-economic environment influences the dynamics and scale of public–private partnerships, thereby contributing to the formulation of relevant conclusions for public policy design and economic development strategies.</w:t>
      </w:r>
    </w:p>
    <w:p w14:paraId="0869EFB5" w14:textId="65A41169" w:rsidR="00DF7CCE" w:rsidRPr="00DF7CCE" w:rsidRDefault="00DF7CCE" w:rsidP="00A478F4">
      <w:pPr>
        <w:widowControl w:val="0"/>
        <w:autoSpaceDE w:val="0"/>
        <w:autoSpaceDN w:val="0"/>
        <w:adjustRightInd w:val="0"/>
        <w:spacing w:after="0" w:line="240" w:lineRule="auto"/>
        <w:jc w:val="both"/>
        <w:rPr>
          <w:rFonts w:ascii="Times New Roman" w:hAnsi="Times New Roman" w:cs="Times New Roman"/>
          <w:lang w:val="en-US"/>
        </w:rPr>
      </w:pPr>
      <w:r w:rsidRPr="00DF7CCE">
        <w:rPr>
          <w:rFonts w:ascii="Times New Roman" w:hAnsi="Times New Roman" w:cs="Times New Roman"/>
          <w:lang w:val="en-US"/>
        </w:rPr>
        <w:t>Regression analysis is a statistical method that enables the examination and measurement of relationships between two or more variables by estimating the mathematical relationship among them (</w:t>
      </w:r>
      <w:proofErr w:type="spellStart"/>
      <w:r w:rsidRPr="00DF7CCE">
        <w:rPr>
          <w:rFonts w:ascii="Times New Roman" w:hAnsi="Times New Roman" w:cs="Times New Roman"/>
          <w:lang w:val="en-US"/>
        </w:rPr>
        <w:t>Jaba</w:t>
      </w:r>
      <w:proofErr w:type="spellEnd"/>
      <w:r w:rsidRPr="00DF7CCE">
        <w:rPr>
          <w:rFonts w:ascii="Times New Roman" w:hAnsi="Times New Roman" w:cs="Times New Roman"/>
          <w:lang w:val="en-US"/>
        </w:rPr>
        <w:t>, 2002). It represents an attempt to explain variations in one variable by reference to changes in one or more other variables (Brooks, 2008).</w:t>
      </w:r>
    </w:p>
    <w:p w14:paraId="0408F0E7" w14:textId="77777777" w:rsidR="00DF7CCE" w:rsidRPr="00DF7CCE" w:rsidRDefault="00DF7CCE" w:rsidP="00A478F4">
      <w:pPr>
        <w:widowControl w:val="0"/>
        <w:autoSpaceDE w:val="0"/>
        <w:autoSpaceDN w:val="0"/>
        <w:adjustRightInd w:val="0"/>
        <w:spacing w:after="0" w:line="240" w:lineRule="auto"/>
        <w:jc w:val="both"/>
        <w:rPr>
          <w:rFonts w:ascii="Times New Roman" w:hAnsi="Times New Roman" w:cs="Times New Roman"/>
          <w:lang w:val="en-US"/>
        </w:rPr>
      </w:pPr>
      <w:r w:rsidRPr="00DF7CCE">
        <w:rPr>
          <w:rFonts w:ascii="Times New Roman" w:hAnsi="Times New Roman" w:cs="Times New Roman"/>
          <w:lang w:val="en-US"/>
        </w:rPr>
        <w:t>Unlike simple linear regression, which may lead to biased or misleading conclusions in the presence of confounding or omitted variables, multivariate regression allows for an analytical decomposition of the contributions of each independent variable, isolating their net effects. In an economic context, this approach is essential for investigating complex relationships in which macroeconomic, institutional, and social variables interact and exert reciprocal influences.</w:t>
      </w:r>
    </w:p>
    <w:p w14:paraId="660E7AF3" w14:textId="77777777" w:rsidR="00DF7CCE" w:rsidRPr="00DF7CCE" w:rsidRDefault="00DF7CCE" w:rsidP="00A478F4">
      <w:pPr>
        <w:widowControl w:val="0"/>
        <w:autoSpaceDE w:val="0"/>
        <w:autoSpaceDN w:val="0"/>
        <w:adjustRightInd w:val="0"/>
        <w:spacing w:after="0" w:line="240" w:lineRule="auto"/>
        <w:jc w:val="both"/>
        <w:rPr>
          <w:rFonts w:ascii="Times New Roman" w:hAnsi="Times New Roman" w:cs="Times New Roman"/>
          <w:lang w:val="en-US"/>
        </w:rPr>
      </w:pPr>
      <w:r w:rsidRPr="00DF7CCE">
        <w:rPr>
          <w:rFonts w:ascii="Times New Roman" w:hAnsi="Times New Roman" w:cs="Times New Roman"/>
          <w:lang w:val="en-US"/>
        </w:rPr>
        <w:t xml:space="preserve">In the present study, the model was specified with the total value of invested capital (USD) as the dependent variable, while the predictors included: the number of PPP projects (serving as a proxy for the intensity of PPP utilization), real GDP per capita growth, the unemployment rate, the share of investment in GDP, and the Quality-Adjusted </w:t>
      </w:r>
      <w:proofErr w:type="spellStart"/>
      <w:r w:rsidRPr="00DF7CCE">
        <w:rPr>
          <w:rFonts w:ascii="Times New Roman" w:hAnsi="Times New Roman" w:cs="Times New Roman"/>
          <w:lang w:val="en-US"/>
        </w:rPr>
        <w:t>Labour</w:t>
      </w:r>
      <w:proofErr w:type="spellEnd"/>
      <w:r w:rsidRPr="00DF7CCE">
        <w:rPr>
          <w:rFonts w:ascii="Times New Roman" w:hAnsi="Times New Roman" w:cs="Times New Roman"/>
          <w:lang w:val="en-US"/>
        </w:rPr>
        <w:t xml:space="preserve"> Index (QALI). All variables were standardized to ensure the comparability of the estimated coefficients.</w:t>
      </w:r>
    </w:p>
    <w:p w14:paraId="6CE62D40" w14:textId="6FBBC30D" w:rsidR="00261C40" w:rsidRDefault="00DF7CCE" w:rsidP="00A478F4">
      <w:pPr>
        <w:widowControl w:val="0"/>
        <w:autoSpaceDE w:val="0"/>
        <w:autoSpaceDN w:val="0"/>
        <w:adjustRightInd w:val="0"/>
        <w:spacing w:after="0" w:line="240" w:lineRule="auto"/>
        <w:jc w:val="both"/>
        <w:rPr>
          <w:rFonts w:ascii="Times New Roman" w:hAnsi="Times New Roman" w:cs="Times New Roman"/>
          <w:lang w:val="en-US"/>
        </w:rPr>
      </w:pPr>
      <w:r w:rsidRPr="00DF7CCE">
        <w:rPr>
          <w:rFonts w:ascii="Times New Roman" w:hAnsi="Times New Roman" w:cs="Times New Roman"/>
          <w:lang w:val="en-US"/>
        </w:rPr>
        <w:t>The analysis is based on statistical data collected from official sources on public–private partnerships across 37 European countries, namely: Belgium, Bulgaria, Czech Republic, Denmark, Germany, Estonia, Ireland, Greece, Spain, France, Croatia, Italy, Cyprus, Latvia, Lithuania, Luxembourg, Hungary, Malta, the Netherlands, Austria, Poland, Portugal, Romania, Slovenia, Slovakia, Finland, Sweden, Iceland, Norway, Switzerland, the United Kingdom, Montenegro, North Macedonia, Albania, Serbia, and Turkey.</w:t>
      </w:r>
      <w:r w:rsidR="00490BF3">
        <w:rPr>
          <w:rFonts w:ascii="Times New Roman" w:hAnsi="Times New Roman" w:cs="Times New Roman"/>
          <w:lang w:val="en-US"/>
        </w:rPr>
        <w:t xml:space="preserve"> </w:t>
      </w:r>
      <w:r w:rsidRPr="00DF7CCE">
        <w:rPr>
          <w:rFonts w:ascii="Times New Roman" w:hAnsi="Times New Roman" w:cs="Times New Roman"/>
          <w:lang w:val="en-US"/>
        </w:rPr>
        <w:t>The period under analysis covers the years 2012–2024, inclusive.</w:t>
      </w:r>
      <w:r w:rsidR="00490BF3">
        <w:rPr>
          <w:rFonts w:ascii="Times New Roman" w:hAnsi="Times New Roman" w:cs="Times New Roman"/>
          <w:lang w:val="en-US"/>
        </w:rPr>
        <w:t xml:space="preserve"> </w:t>
      </w:r>
      <w:r w:rsidRPr="00DF7CCE">
        <w:rPr>
          <w:rFonts w:ascii="Times New Roman" w:hAnsi="Times New Roman" w:cs="Times New Roman"/>
          <w:lang w:val="en-US"/>
        </w:rPr>
        <w:t xml:space="preserve">Regarding the software tools employed, Microsoft Excel and SPSS were used for data processing </w:t>
      </w:r>
      <w:r w:rsidRPr="00DF7CCE">
        <w:rPr>
          <w:rFonts w:ascii="Times New Roman" w:hAnsi="Times New Roman" w:cs="Times New Roman"/>
          <w:lang w:val="en-US"/>
        </w:rPr>
        <w:lastRenderedPageBreak/>
        <w:t>and statistical analysis.</w:t>
      </w:r>
      <w:r w:rsidR="00490BF3">
        <w:rPr>
          <w:rFonts w:ascii="Times New Roman" w:hAnsi="Times New Roman" w:cs="Times New Roman"/>
          <w:lang w:val="en-US"/>
        </w:rPr>
        <w:t xml:space="preserve"> </w:t>
      </w:r>
      <w:r w:rsidRPr="00DF7CCE">
        <w:rPr>
          <w:rFonts w:ascii="Times New Roman" w:hAnsi="Times New Roman" w:cs="Times New Roman"/>
          <w:lang w:val="en-US"/>
        </w:rPr>
        <w:t>The data were collected from official sources, including Eurostat (www.ec.europe.eu/eurostat) and the Infrastructure Projects Database (</w:t>
      </w:r>
      <w:hyperlink r:id="rId7" w:history="1">
        <w:r w:rsidRPr="005544DC">
          <w:rPr>
            <w:rStyle w:val="Hyperlink"/>
            <w:rFonts w:ascii="Times New Roman" w:hAnsi="Times New Roman" w:cs="Times New Roman"/>
            <w:lang w:val="en-US"/>
          </w:rPr>
          <w:t>www.infrapppworld.com</w:t>
        </w:r>
      </w:hyperlink>
      <w:r w:rsidRPr="00DF7CCE">
        <w:rPr>
          <w:rFonts w:ascii="Times New Roman" w:hAnsi="Times New Roman" w:cs="Times New Roman"/>
          <w:lang w:val="en-US"/>
        </w:rPr>
        <w:t>).</w:t>
      </w:r>
    </w:p>
    <w:p w14:paraId="4F0934B2" w14:textId="77777777" w:rsidR="008475D9" w:rsidRDefault="008475D9" w:rsidP="00A478F4">
      <w:pPr>
        <w:widowControl w:val="0"/>
        <w:autoSpaceDE w:val="0"/>
        <w:autoSpaceDN w:val="0"/>
        <w:adjustRightInd w:val="0"/>
        <w:spacing w:after="0" w:line="240" w:lineRule="auto"/>
        <w:jc w:val="both"/>
        <w:rPr>
          <w:rFonts w:ascii="Times New Roman" w:hAnsi="Times New Roman" w:cs="Times New Roman"/>
          <w:lang w:val="en-US"/>
        </w:rPr>
      </w:pPr>
    </w:p>
    <w:p w14:paraId="1F7C7E4A" w14:textId="201DE8DC" w:rsidR="00DF7CCE" w:rsidRDefault="00DF7CCE" w:rsidP="00A478F4">
      <w:pPr>
        <w:widowControl w:val="0"/>
        <w:autoSpaceDE w:val="0"/>
        <w:autoSpaceDN w:val="0"/>
        <w:adjustRightInd w:val="0"/>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4. </w:t>
      </w:r>
      <w:r w:rsidRPr="00DF7CCE">
        <w:rPr>
          <w:rFonts w:ascii="Times New Roman" w:hAnsi="Times New Roman" w:cs="Times New Roman"/>
          <w:b/>
          <w:bCs/>
          <w:lang w:val="en-US"/>
        </w:rPr>
        <w:t>Estimation of the Regression Model</w:t>
      </w:r>
    </w:p>
    <w:p w14:paraId="367B126B" w14:textId="77777777" w:rsidR="008475D9" w:rsidRPr="00DF7CCE" w:rsidRDefault="008475D9" w:rsidP="00A478F4">
      <w:pPr>
        <w:widowControl w:val="0"/>
        <w:autoSpaceDE w:val="0"/>
        <w:autoSpaceDN w:val="0"/>
        <w:adjustRightInd w:val="0"/>
        <w:spacing w:after="0" w:line="240" w:lineRule="auto"/>
        <w:jc w:val="both"/>
        <w:rPr>
          <w:rFonts w:ascii="Times New Roman" w:hAnsi="Times New Roman" w:cs="Times New Roman"/>
          <w:b/>
          <w:bCs/>
          <w:lang w:val="en-US"/>
        </w:rPr>
      </w:pPr>
    </w:p>
    <w:p w14:paraId="0605A3D8" w14:textId="3A0EF09B" w:rsidR="00DF7CCE" w:rsidRPr="00DF7CCE" w:rsidRDefault="00DF7CCE" w:rsidP="00A478F4">
      <w:pPr>
        <w:widowControl w:val="0"/>
        <w:autoSpaceDE w:val="0"/>
        <w:autoSpaceDN w:val="0"/>
        <w:adjustRightInd w:val="0"/>
        <w:spacing w:after="0" w:line="240" w:lineRule="auto"/>
        <w:jc w:val="both"/>
        <w:rPr>
          <w:rFonts w:ascii="Times New Roman" w:hAnsi="Times New Roman" w:cs="Times New Roman"/>
          <w:lang w:val="en-US"/>
        </w:rPr>
      </w:pPr>
      <w:r w:rsidRPr="00DF7CCE">
        <w:rPr>
          <w:rFonts w:ascii="Times New Roman" w:hAnsi="Times New Roman" w:cs="Times New Roman"/>
          <w:lang w:val="en-US"/>
        </w:rPr>
        <w:t>The results of the analysis reveal a strong association between the dependent variable</w:t>
      </w:r>
      <w:r>
        <w:rPr>
          <w:rFonts w:ascii="Times New Roman" w:hAnsi="Times New Roman" w:cs="Times New Roman"/>
          <w:lang w:val="en-US"/>
        </w:rPr>
        <w:t xml:space="preserve"> </w:t>
      </w:r>
      <w:r w:rsidRPr="00DF7CCE">
        <w:rPr>
          <w:rFonts w:ascii="Times New Roman" w:hAnsi="Times New Roman" w:cs="Times New Roman"/>
          <w:lang w:val="en-US"/>
        </w:rPr>
        <w:t>the total value of capital invested through public–private partnerships (PPPs)</w:t>
      </w:r>
      <w:r>
        <w:rPr>
          <w:rFonts w:ascii="Times New Roman" w:hAnsi="Times New Roman" w:cs="Times New Roman"/>
          <w:lang w:val="en-US"/>
        </w:rPr>
        <w:t xml:space="preserve"> </w:t>
      </w:r>
      <w:r w:rsidRPr="00DF7CCE">
        <w:rPr>
          <w:rFonts w:ascii="Times New Roman" w:hAnsi="Times New Roman" w:cs="Times New Roman"/>
          <w:lang w:val="en-US"/>
        </w:rPr>
        <w:t>and one of the key explanatory variables, namely the total number of PPP projects implemented. The Pearson correlation coefficient obtained for this relationship (r = 0.8753) indicates a very strong positive correlation, suggesting that as the number of partnerships increases, the total volume of investments mobilized through these mechanisms tends to rise proportionally. This finding is consistent with the study’s working hypothesis, according to which the frequency of PPP utilization reflects both the institutional capacity and the attractiveness of a country’s investment environment, thereby constituting a direct determinant of the amount of capital attracted.</w:t>
      </w:r>
    </w:p>
    <w:p w14:paraId="216B4979" w14:textId="53639D82" w:rsidR="00DF7CCE" w:rsidRPr="00DF7CCE" w:rsidRDefault="00DF7CCE" w:rsidP="00A478F4">
      <w:pPr>
        <w:widowControl w:val="0"/>
        <w:autoSpaceDE w:val="0"/>
        <w:autoSpaceDN w:val="0"/>
        <w:adjustRightInd w:val="0"/>
        <w:spacing w:after="0" w:line="240" w:lineRule="auto"/>
        <w:jc w:val="both"/>
        <w:rPr>
          <w:rFonts w:ascii="Times New Roman" w:hAnsi="Times New Roman" w:cs="Times New Roman"/>
          <w:lang w:val="en-US"/>
        </w:rPr>
      </w:pPr>
      <w:r w:rsidRPr="00DF7CCE">
        <w:rPr>
          <w:rFonts w:ascii="Times New Roman" w:hAnsi="Times New Roman" w:cs="Times New Roman"/>
          <w:lang w:val="en-US"/>
        </w:rPr>
        <w:t xml:space="preserve">By contrast, the remaining independent variables, included to capture the macroeconomic and structural context of each country, exhibit modest or statistically insignificant correlations with the value of invested capital. Specifically, the unemployment rate (r = −0.0283), real GDP per capita growth (r = −0.1066), the share of investment in GDP (r = −0.2072), and the Quality-Adjusted </w:t>
      </w:r>
      <w:proofErr w:type="spellStart"/>
      <w:r w:rsidRPr="00DF7CCE">
        <w:rPr>
          <w:rFonts w:ascii="Times New Roman" w:hAnsi="Times New Roman" w:cs="Times New Roman"/>
          <w:lang w:val="en-US"/>
        </w:rPr>
        <w:t>Labour</w:t>
      </w:r>
      <w:proofErr w:type="spellEnd"/>
      <w:r w:rsidRPr="00DF7CCE">
        <w:rPr>
          <w:rFonts w:ascii="Times New Roman" w:hAnsi="Times New Roman" w:cs="Times New Roman"/>
          <w:lang w:val="en-US"/>
        </w:rPr>
        <w:t xml:space="preserve"> Index (QALI) (r = 0.0987) do not display a clear or consistent association with the dependent variable. This outcome may reflect either more complex non-linear relationships</w:t>
      </w:r>
      <w:r>
        <w:rPr>
          <w:rFonts w:ascii="Times New Roman" w:hAnsi="Times New Roman" w:cs="Times New Roman"/>
          <w:lang w:val="en-US"/>
        </w:rPr>
        <w:t xml:space="preserve"> </w:t>
      </w:r>
      <w:r w:rsidRPr="00DF7CCE">
        <w:rPr>
          <w:rFonts w:ascii="Times New Roman" w:hAnsi="Times New Roman" w:cs="Times New Roman"/>
          <w:lang w:val="en-US"/>
        </w:rPr>
        <w:t>undetectable through simple correlation analysis</w:t>
      </w:r>
      <w:r>
        <w:rPr>
          <w:rFonts w:ascii="Times New Roman" w:hAnsi="Times New Roman" w:cs="Times New Roman"/>
          <w:lang w:val="en-US"/>
        </w:rPr>
        <w:t xml:space="preserve"> </w:t>
      </w:r>
      <w:r w:rsidRPr="00DF7CCE">
        <w:rPr>
          <w:rFonts w:ascii="Times New Roman" w:hAnsi="Times New Roman" w:cs="Times New Roman"/>
          <w:lang w:val="en-US"/>
        </w:rPr>
        <w:t>or indirect effects that materialize only in the presence of additional control variables.</w:t>
      </w:r>
    </w:p>
    <w:p w14:paraId="2BEE5CAF" w14:textId="77777777" w:rsidR="00DF7CCE" w:rsidRPr="00DF7CCE" w:rsidRDefault="00DF7CCE" w:rsidP="00A478F4">
      <w:pPr>
        <w:widowControl w:val="0"/>
        <w:autoSpaceDE w:val="0"/>
        <w:autoSpaceDN w:val="0"/>
        <w:adjustRightInd w:val="0"/>
        <w:spacing w:after="0" w:line="240" w:lineRule="auto"/>
        <w:jc w:val="both"/>
        <w:rPr>
          <w:rFonts w:ascii="Times New Roman" w:hAnsi="Times New Roman" w:cs="Times New Roman"/>
          <w:lang w:val="en-US"/>
        </w:rPr>
      </w:pPr>
      <w:r w:rsidRPr="00DF7CCE">
        <w:rPr>
          <w:rFonts w:ascii="Times New Roman" w:hAnsi="Times New Roman" w:cs="Times New Roman"/>
          <w:lang w:val="en-US"/>
        </w:rPr>
        <w:t>To validate the quality of the model and to avoid estimation errors arising from informational redundancy, multicollinearity among the included predictors was assessed. The obtained Variance Inflation Factor (VIF) values range between 1.19 and 1.64, well below the commonly accepted threshold of 5, indicating an acceptable degree of independence among the explanatory variables. In parallel, tolerance values exceeding 0.6 across all predictors further confirm the absence of excessive collinearity, thereby ensuring the robustness of the estimates generated by the multivariate linear regression model.</w:t>
      </w:r>
    </w:p>
    <w:p w14:paraId="7266621D" w14:textId="77777777" w:rsidR="00DF7CCE" w:rsidRPr="00DF7CCE" w:rsidRDefault="00DF7CCE" w:rsidP="00A478F4">
      <w:pPr>
        <w:widowControl w:val="0"/>
        <w:autoSpaceDE w:val="0"/>
        <w:autoSpaceDN w:val="0"/>
        <w:adjustRightInd w:val="0"/>
        <w:spacing w:after="0" w:line="240" w:lineRule="auto"/>
        <w:jc w:val="both"/>
        <w:rPr>
          <w:rFonts w:ascii="Times New Roman" w:hAnsi="Times New Roman" w:cs="Times New Roman"/>
          <w:lang w:val="en-US"/>
        </w:rPr>
      </w:pPr>
      <w:r w:rsidRPr="00DF7CCE">
        <w:rPr>
          <w:rFonts w:ascii="Times New Roman" w:hAnsi="Times New Roman" w:cs="Times New Roman"/>
          <w:lang w:val="en-US"/>
        </w:rPr>
        <w:t>The estimated model explains a substantial proportion of the variation in the value of capital invested through PPPs (R² = 0.7812), with an adjusted R² of 0.7314, suggesting an excellent overall fit of the model to the data. The global statistical significance of the model is supported by the F-test (F = 15.70, p &lt; 0.0001), indicating that, taken together, the explanatory variables contribute significantly to explaining the variability in the dependent variable. The Durbin–Watson statistic (DW = 1.4455) points to a slight positive autocorrelation of the residuals; however, this does not reach problematic levels, allowing for a valid interpretation of the estimated coefficients.</w:t>
      </w:r>
    </w:p>
    <w:p w14:paraId="5CCEE9BF" w14:textId="77777777" w:rsidR="00DF7CCE" w:rsidRPr="00DF7CCE" w:rsidRDefault="00DF7CCE" w:rsidP="00A478F4">
      <w:pPr>
        <w:widowControl w:val="0"/>
        <w:autoSpaceDE w:val="0"/>
        <w:autoSpaceDN w:val="0"/>
        <w:adjustRightInd w:val="0"/>
        <w:spacing w:after="0" w:line="240" w:lineRule="auto"/>
        <w:jc w:val="both"/>
        <w:rPr>
          <w:rFonts w:ascii="Times New Roman" w:hAnsi="Times New Roman" w:cs="Times New Roman"/>
          <w:lang w:val="en-US"/>
        </w:rPr>
      </w:pPr>
      <w:r w:rsidRPr="00DF7CCE">
        <w:rPr>
          <w:rFonts w:ascii="Times New Roman" w:hAnsi="Times New Roman" w:cs="Times New Roman"/>
          <w:lang w:val="en-US"/>
        </w:rPr>
        <w:t>From the perspective of individual predictor contributions, only the number of PPP projects demonstrates a statistically significant effect on the value of invested capital (coefficient significant at p &lt; 0.05). This result reinforces the notion that the frequency of PPP implementation is not merely an operational indicator, but also a direct explanatory factor for success in attracting private capital. The remaining variables, although theoretically relevant and included in the model, do not exhibit individual statistical significance. This does not imply a complete absence of influence, but rather suggests that their effects cannot be clearly isolated within the current model specification.</w:t>
      </w:r>
    </w:p>
    <w:p w14:paraId="08EA1DEE" w14:textId="77777777" w:rsidR="00DF7CCE" w:rsidRPr="00DF7CCE" w:rsidRDefault="00DF7CCE" w:rsidP="00A478F4">
      <w:pPr>
        <w:widowControl w:val="0"/>
        <w:autoSpaceDE w:val="0"/>
        <w:autoSpaceDN w:val="0"/>
        <w:adjustRightInd w:val="0"/>
        <w:spacing w:after="0" w:line="240" w:lineRule="auto"/>
        <w:jc w:val="both"/>
        <w:rPr>
          <w:rFonts w:ascii="Times New Roman" w:hAnsi="Times New Roman" w:cs="Times New Roman"/>
          <w:lang w:val="en-US"/>
        </w:rPr>
      </w:pPr>
      <w:r w:rsidRPr="00DF7CCE">
        <w:rPr>
          <w:rFonts w:ascii="Times New Roman" w:hAnsi="Times New Roman" w:cs="Times New Roman"/>
          <w:lang w:val="en-US"/>
        </w:rPr>
        <w:t>Nevertheless, the model presents certain limitations in terms of geographical applicability. The analysis was conducted using data available for only 10 European Union Member States (including the United Kingdom), representing approximately 37% of the total number of EU countries. This sample restriction may limit the generalizability of the findings, although it does not significantly compromise the internal validity of the estimated relationships.</w:t>
      </w:r>
    </w:p>
    <w:p w14:paraId="188AE943" w14:textId="053FBE04" w:rsidR="00DF7CCE" w:rsidRDefault="00DF7CCE" w:rsidP="00A478F4">
      <w:pPr>
        <w:widowControl w:val="0"/>
        <w:autoSpaceDE w:val="0"/>
        <w:autoSpaceDN w:val="0"/>
        <w:adjustRightInd w:val="0"/>
        <w:spacing w:after="0" w:line="240" w:lineRule="auto"/>
        <w:jc w:val="both"/>
        <w:rPr>
          <w:rFonts w:ascii="Times New Roman" w:hAnsi="Times New Roman" w:cs="Times New Roman"/>
          <w:lang w:val="en-US"/>
        </w:rPr>
      </w:pPr>
      <w:r w:rsidRPr="00DF7CCE">
        <w:rPr>
          <w:rFonts w:ascii="Times New Roman" w:hAnsi="Times New Roman" w:cs="Times New Roman"/>
          <w:lang w:val="en-US"/>
        </w:rPr>
        <w:t xml:space="preserve">An examination of standardized residuals allows for further exploration of discrepancies between the values estimated by the model and those observed empirically. This analysis highlights several extreme or atypical observations. Estonia and Finland exhibit the largest positive residuals, with actual PPP capital values exceeding the model’s estimates by more than USD 20 billion. In contrast, France, Belgium, and the Netherlands display pronounced negative deviations, indicating an overestimation of PPP capital values by the model. These deviations suggest the presence of country-specific factors that are not captured by the macroeconomic variables employed. Such factors may </w:t>
      </w:r>
      <w:r w:rsidRPr="00DF7CCE">
        <w:rPr>
          <w:rFonts w:ascii="Times New Roman" w:hAnsi="Times New Roman" w:cs="Times New Roman"/>
          <w:lang w:val="en-US"/>
        </w:rPr>
        <w:lastRenderedPageBreak/>
        <w:t>include the size and maturity of national PPP legislative frameworks, political stability, levels of administrative transparency, or specific characteristics of domestic capital markets.</w:t>
      </w:r>
    </w:p>
    <w:p w14:paraId="79695699" w14:textId="77777777" w:rsidR="00DA15E4" w:rsidRPr="00DF7CCE" w:rsidRDefault="00DA15E4" w:rsidP="00A478F4">
      <w:pPr>
        <w:widowControl w:val="0"/>
        <w:autoSpaceDE w:val="0"/>
        <w:autoSpaceDN w:val="0"/>
        <w:adjustRightInd w:val="0"/>
        <w:spacing w:after="0" w:line="240" w:lineRule="auto"/>
        <w:jc w:val="both"/>
        <w:rPr>
          <w:rFonts w:ascii="Times New Roman" w:hAnsi="Times New Roman" w:cs="Times New Roman"/>
          <w:lang w:val="en-US"/>
        </w:rPr>
      </w:pPr>
    </w:p>
    <w:p w14:paraId="13479767" w14:textId="7A7F59BB" w:rsidR="00261C40" w:rsidRDefault="008475D9" w:rsidP="00A478F4">
      <w:pPr>
        <w:widowControl w:val="0"/>
        <w:autoSpaceDE w:val="0"/>
        <w:autoSpaceDN w:val="0"/>
        <w:adjustRightInd w:val="0"/>
        <w:spacing w:after="0" w:line="240" w:lineRule="auto"/>
        <w:jc w:val="both"/>
        <w:rPr>
          <w:rFonts w:ascii="Times New Roman" w:hAnsi="Times New Roman" w:cs="Times New Roman"/>
          <w:b/>
          <w:bCs/>
          <w:lang w:val="en-US"/>
        </w:rPr>
      </w:pPr>
      <w:r>
        <w:rPr>
          <w:rFonts w:ascii="Times New Roman" w:hAnsi="Times New Roman" w:cs="Times New Roman"/>
          <w:b/>
          <w:bCs/>
          <w:lang w:val="en-US"/>
        </w:rPr>
        <w:t>5</w:t>
      </w:r>
      <w:r w:rsidR="00261C40">
        <w:rPr>
          <w:rFonts w:ascii="Times New Roman" w:hAnsi="Times New Roman" w:cs="Times New Roman"/>
          <w:b/>
          <w:bCs/>
          <w:lang w:val="en-US"/>
        </w:rPr>
        <w:t>. Findings</w:t>
      </w:r>
    </w:p>
    <w:p w14:paraId="588B2F7C" w14:textId="77777777" w:rsidR="00DA15E4" w:rsidRDefault="00DA15E4" w:rsidP="00A478F4">
      <w:pPr>
        <w:widowControl w:val="0"/>
        <w:autoSpaceDE w:val="0"/>
        <w:autoSpaceDN w:val="0"/>
        <w:adjustRightInd w:val="0"/>
        <w:spacing w:after="0" w:line="240" w:lineRule="auto"/>
        <w:jc w:val="both"/>
        <w:rPr>
          <w:rFonts w:ascii="Times New Roman" w:hAnsi="Times New Roman" w:cs="Times New Roman"/>
          <w:b/>
          <w:bCs/>
          <w:lang w:val="en-US"/>
        </w:rPr>
      </w:pPr>
    </w:p>
    <w:p w14:paraId="4D893AFD" w14:textId="6B4D916F" w:rsidR="00BB2B60" w:rsidRPr="00BB2B60" w:rsidRDefault="00BB2B60" w:rsidP="00A478F4">
      <w:pPr>
        <w:widowControl w:val="0"/>
        <w:autoSpaceDE w:val="0"/>
        <w:autoSpaceDN w:val="0"/>
        <w:adjustRightInd w:val="0"/>
        <w:spacing w:after="0" w:line="240" w:lineRule="auto"/>
        <w:jc w:val="both"/>
        <w:rPr>
          <w:rFonts w:ascii="Times New Roman" w:hAnsi="Times New Roman" w:cs="Times New Roman"/>
          <w:b/>
          <w:bCs/>
          <w:lang w:val="en-US"/>
        </w:rPr>
      </w:pPr>
      <w:r w:rsidRPr="00BB2B60">
        <w:rPr>
          <w:rFonts w:ascii="Times New Roman" w:hAnsi="Times New Roman" w:cs="Times New Roman"/>
          <w:color w:val="000000"/>
        </w:rPr>
        <w:t xml:space="preserve">Table 1 </w:t>
      </w:r>
      <w:proofErr w:type="spellStart"/>
      <w:r w:rsidRPr="00BB2B60">
        <w:rPr>
          <w:rFonts w:ascii="Times New Roman" w:hAnsi="Times New Roman" w:cs="Times New Roman"/>
          <w:color w:val="000000"/>
        </w:rPr>
        <w:t>presents</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the</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results</w:t>
      </w:r>
      <w:proofErr w:type="spellEnd"/>
      <w:r w:rsidRPr="00BB2B60">
        <w:rPr>
          <w:rFonts w:ascii="Times New Roman" w:hAnsi="Times New Roman" w:cs="Times New Roman"/>
          <w:color w:val="000000"/>
        </w:rPr>
        <w:t xml:space="preserve"> of </w:t>
      </w:r>
      <w:proofErr w:type="spellStart"/>
      <w:r w:rsidRPr="00BB2B60">
        <w:rPr>
          <w:rFonts w:ascii="Times New Roman" w:hAnsi="Times New Roman" w:cs="Times New Roman"/>
          <w:color w:val="000000"/>
        </w:rPr>
        <w:t>the</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analysis</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indicating</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that</w:t>
      </w:r>
      <w:proofErr w:type="spellEnd"/>
      <w:r w:rsidRPr="00BB2B60">
        <w:rPr>
          <w:rFonts w:ascii="Times New Roman" w:hAnsi="Times New Roman" w:cs="Times New Roman"/>
          <w:color w:val="000000"/>
        </w:rPr>
        <w:t xml:space="preserve">, at </w:t>
      </w:r>
      <w:proofErr w:type="spellStart"/>
      <w:r w:rsidRPr="00BB2B60">
        <w:rPr>
          <w:rFonts w:ascii="Times New Roman" w:hAnsi="Times New Roman" w:cs="Times New Roman"/>
          <w:color w:val="000000"/>
        </w:rPr>
        <w:t>the</w:t>
      </w:r>
      <w:proofErr w:type="spellEnd"/>
      <w:r w:rsidRPr="00BB2B60">
        <w:rPr>
          <w:rFonts w:ascii="Times New Roman" w:hAnsi="Times New Roman" w:cs="Times New Roman"/>
          <w:color w:val="000000"/>
        </w:rPr>
        <w:t xml:space="preserve"> individual </w:t>
      </w:r>
      <w:proofErr w:type="spellStart"/>
      <w:r w:rsidRPr="00BB2B60">
        <w:rPr>
          <w:rFonts w:ascii="Times New Roman" w:hAnsi="Times New Roman" w:cs="Times New Roman"/>
          <w:color w:val="000000"/>
        </w:rPr>
        <w:t>level</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the</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value</w:t>
      </w:r>
      <w:proofErr w:type="spellEnd"/>
      <w:r w:rsidRPr="00BB2B60">
        <w:rPr>
          <w:rFonts w:ascii="Times New Roman" w:hAnsi="Times New Roman" w:cs="Times New Roman"/>
          <w:color w:val="000000"/>
        </w:rPr>
        <w:t xml:space="preserve"> of PPP capital </w:t>
      </w:r>
      <w:proofErr w:type="spellStart"/>
      <w:r w:rsidRPr="00BB2B60">
        <w:rPr>
          <w:rFonts w:ascii="Times New Roman" w:hAnsi="Times New Roman" w:cs="Times New Roman"/>
          <w:color w:val="000000"/>
        </w:rPr>
        <w:t>and</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the</w:t>
      </w:r>
      <w:proofErr w:type="spellEnd"/>
      <w:r w:rsidRPr="00BB2B60">
        <w:rPr>
          <w:rFonts w:ascii="Times New Roman" w:hAnsi="Times New Roman" w:cs="Times New Roman"/>
          <w:color w:val="000000"/>
        </w:rPr>
        <w:t xml:space="preserve"> total </w:t>
      </w:r>
      <w:proofErr w:type="spellStart"/>
      <w:r w:rsidRPr="00BB2B60">
        <w:rPr>
          <w:rFonts w:ascii="Times New Roman" w:hAnsi="Times New Roman" w:cs="Times New Roman"/>
          <w:color w:val="000000"/>
        </w:rPr>
        <w:t>number</w:t>
      </w:r>
      <w:proofErr w:type="spellEnd"/>
      <w:r w:rsidRPr="00BB2B60">
        <w:rPr>
          <w:rFonts w:ascii="Times New Roman" w:hAnsi="Times New Roman" w:cs="Times New Roman"/>
          <w:color w:val="000000"/>
        </w:rPr>
        <w:t xml:space="preserve"> of PPP </w:t>
      </w:r>
      <w:proofErr w:type="spellStart"/>
      <w:r w:rsidRPr="00BB2B60">
        <w:rPr>
          <w:rFonts w:ascii="Times New Roman" w:hAnsi="Times New Roman" w:cs="Times New Roman"/>
          <w:color w:val="000000"/>
        </w:rPr>
        <w:t>projects</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exhibit</w:t>
      </w:r>
      <w:proofErr w:type="spellEnd"/>
      <w:r w:rsidRPr="00BB2B60">
        <w:rPr>
          <w:rFonts w:ascii="Times New Roman" w:hAnsi="Times New Roman" w:cs="Times New Roman"/>
          <w:color w:val="000000"/>
        </w:rPr>
        <w:t xml:space="preserve"> a </w:t>
      </w:r>
      <w:proofErr w:type="spellStart"/>
      <w:r w:rsidRPr="00BB2B60">
        <w:rPr>
          <w:rFonts w:ascii="Times New Roman" w:hAnsi="Times New Roman" w:cs="Times New Roman"/>
          <w:color w:val="000000"/>
        </w:rPr>
        <w:t>strong</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correlation</w:t>
      </w:r>
      <w:proofErr w:type="spellEnd"/>
      <w:r w:rsidRPr="00BB2B60">
        <w:rPr>
          <w:rFonts w:ascii="Times New Roman" w:hAnsi="Times New Roman" w:cs="Times New Roman"/>
          <w:color w:val="000000"/>
        </w:rPr>
        <w:t xml:space="preserve"> (r = 0.8753), </w:t>
      </w:r>
      <w:proofErr w:type="spellStart"/>
      <w:r w:rsidRPr="00BB2B60">
        <w:rPr>
          <w:rFonts w:ascii="Times New Roman" w:hAnsi="Times New Roman" w:cs="Times New Roman"/>
          <w:color w:val="000000"/>
        </w:rPr>
        <w:t>suggesting</w:t>
      </w:r>
      <w:proofErr w:type="spellEnd"/>
      <w:r w:rsidRPr="00BB2B60">
        <w:rPr>
          <w:rFonts w:ascii="Times New Roman" w:hAnsi="Times New Roman" w:cs="Times New Roman"/>
          <w:color w:val="000000"/>
        </w:rPr>
        <w:t xml:space="preserve"> a </w:t>
      </w:r>
      <w:proofErr w:type="spellStart"/>
      <w:r w:rsidRPr="00BB2B60">
        <w:rPr>
          <w:rFonts w:ascii="Times New Roman" w:hAnsi="Times New Roman" w:cs="Times New Roman"/>
          <w:color w:val="000000"/>
        </w:rPr>
        <w:t>significant</w:t>
      </w:r>
      <w:proofErr w:type="spellEnd"/>
      <w:r w:rsidRPr="00BB2B60">
        <w:rPr>
          <w:rFonts w:ascii="Times New Roman" w:hAnsi="Times New Roman" w:cs="Times New Roman"/>
          <w:color w:val="000000"/>
        </w:rPr>
        <w:t xml:space="preserve"> direct </w:t>
      </w:r>
      <w:proofErr w:type="spellStart"/>
      <w:r w:rsidRPr="00BB2B60">
        <w:rPr>
          <w:rFonts w:ascii="Times New Roman" w:hAnsi="Times New Roman" w:cs="Times New Roman"/>
          <w:color w:val="000000"/>
        </w:rPr>
        <w:t>association</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between</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the</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intensity</w:t>
      </w:r>
      <w:proofErr w:type="spellEnd"/>
      <w:r w:rsidRPr="00BB2B60">
        <w:rPr>
          <w:rFonts w:ascii="Times New Roman" w:hAnsi="Times New Roman" w:cs="Times New Roman"/>
          <w:color w:val="000000"/>
        </w:rPr>
        <w:t xml:space="preserve"> of PPP </w:t>
      </w:r>
      <w:proofErr w:type="spellStart"/>
      <w:r w:rsidRPr="00BB2B60">
        <w:rPr>
          <w:rFonts w:ascii="Times New Roman" w:hAnsi="Times New Roman" w:cs="Times New Roman"/>
          <w:color w:val="000000"/>
        </w:rPr>
        <w:t>implementation</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and</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the</w:t>
      </w:r>
      <w:proofErr w:type="spellEnd"/>
      <w:r w:rsidRPr="00BB2B60">
        <w:rPr>
          <w:rFonts w:ascii="Times New Roman" w:hAnsi="Times New Roman" w:cs="Times New Roman"/>
          <w:color w:val="000000"/>
        </w:rPr>
        <w:t xml:space="preserve"> volume of </w:t>
      </w:r>
      <w:proofErr w:type="spellStart"/>
      <w:r w:rsidRPr="00BB2B60">
        <w:rPr>
          <w:rFonts w:ascii="Times New Roman" w:hAnsi="Times New Roman" w:cs="Times New Roman"/>
          <w:color w:val="000000"/>
        </w:rPr>
        <w:t>investments</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attracted</w:t>
      </w:r>
      <w:proofErr w:type="spellEnd"/>
      <w:r w:rsidRPr="00BB2B60">
        <w:rPr>
          <w:rFonts w:ascii="Times New Roman" w:hAnsi="Times New Roman" w:cs="Times New Roman"/>
          <w:color w:val="000000"/>
        </w:rPr>
        <w:t xml:space="preserve">. The </w:t>
      </w:r>
      <w:proofErr w:type="spellStart"/>
      <w:r w:rsidRPr="00BB2B60">
        <w:rPr>
          <w:rFonts w:ascii="Times New Roman" w:hAnsi="Times New Roman" w:cs="Times New Roman"/>
          <w:color w:val="000000"/>
        </w:rPr>
        <w:t>remaining</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variables</w:t>
      </w:r>
      <w:proofErr w:type="spellEnd"/>
      <w:r w:rsidRPr="00BB2B60">
        <w:rPr>
          <w:rFonts w:ascii="Times New Roman" w:hAnsi="Times New Roman" w:cs="Times New Roman"/>
          <w:color w:val="000000"/>
        </w:rPr>
        <w:t xml:space="preserve"> display </w:t>
      </w:r>
      <w:proofErr w:type="spellStart"/>
      <w:r w:rsidRPr="00BB2B60">
        <w:rPr>
          <w:rFonts w:ascii="Times New Roman" w:hAnsi="Times New Roman" w:cs="Times New Roman"/>
          <w:color w:val="000000"/>
        </w:rPr>
        <w:t>weak</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correlations</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with</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the</w:t>
      </w:r>
      <w:proofErr w:type="spellEnd"/>
      <w:r w:rsidRPr="00BB2B60">
        <w:rPr>
          <w:rFonts w:ascii="Times New Roman" w:hAnsi="Times New Roman" w:cs="Times New Roman"/>
          <w:color w:val="000000"/>
        </w:rPr>
        <w:t xml:space="preserve"> dependent </w:t>
      </w:r>
      <w:proofErr w:type="spellStart"/>
      <w:r w:rsidRPr="00BB2B60">
        <w:rPr>
          <w:rFonts w:ascii="Times New Roman" w:hAnsi="Times New Roman" w:cs="Times New Roman"/>
          <w:color w:val="000000"/>
        </w:rPr>
        <w:t>variable</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namely</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the</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unemployment</w:t>
      </w:r>
      <w:proofErr w:type="spellEnd"/>
      <w:r w:rsidRPr="00BB2B60">
        <w:rPr>
          <w:rFonts w:ascii="Times New Roman" w:hAnsi="Times New Roman" w:cs="Times New Roman"/>
          <w:color w:val="000000"/>
        </w:rPr>
        <w:t xml:space="preserve"> rate (r = −0.0283), real GDP per </w:t>
      </w:r>
      <w:proofErr w:type="spellStart"/>
      <w:r w:rsidRPr="00BB2B60">
        <w:rPr>
          <w:rFonts w:ascii="Times New Roman" w:hAnsi="Times New Roman" w:cs="Times New Roman"/>
          <w:color w:val="000000"/>
        </w:rPr>
        <w:t>capita</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growth</w:t>
      </w:r>
      <w:proofErr w:type="spellEnd"/>
      <w:r w:rsidRPr="00BB2B60">
        <w:rPr>
          <w:rFonts w:ascii="Times New Roman" w:hAnsi="Times New Roman" w:cs="Times New Roman"/>
          <w:color w:val="000000"/>
        </w:rPr>
        <w:t xml:space="preserve"> (r = −0.1066), </w:t>
      </w:r>
      <w:proofErr w:type="spellStart"/>
      <w:r w:rsidRPr="00BB2B60">
        <w:rPr>
          <w:rFonts w:ascii="Times New Roman" w:hAnsi="Times New Roman" w:cs="Times New Roman"/>
          <w:color w:val="000000"/>
        </w:rPr>
        <w:t>the</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share</w:t>
      </w:r>
      <w:proofErr w:type="spellEnd"/>
      <w:r w:rsidRPr="00BB2B60">
        <w:rPr>
          <w:rFonts w:ascii="Times New Roman" w:hAnsi="Times New Roman" w:cs="Times New Roman"/>
          <w:color w:val="000000"/>
        </w:rPr>
        <w:t xml:space="preserve"> of </w:t>
      </w:r>
      <w:proofErr w:type="spellStart"/>
      <w:r w:rsidRPr="00BB2B60">
        <w:rPr>
          <w:rFonts w:ascii="Times New Roman" w:hAnsi="Times New Roman" w:cs="Times New Roman"/>
          <w:color w:val="000000"/>
        </w:rPr>
        <w:t>investment</w:t>
      </w:r>
      <w:proofErr w:type="spellEnd"/>
      <w:r w:rsidRPr="00BB2B60">
        <w:rPr>
          <w:rFonts w:ascii="Times New Roman" w:hAnsi="Times New Roman" w:cs="Times New Roman"/>
          <w:color w:val="000000"/>
        </w:rPr>
        <w:t xml:space="preserve"> (r = −0.2072), </w:t>
      </w:r>
      <w:proofErr w:type="spellStart"/>
      <w:r w:rsidRPr="00BB2B60">
        <w:rPr>
          <w:rFonts w:ascii="Times New Roman" w:hAnsi="Times New Roman" w:cs="Times New Roman"/>
          <w:color w:val="000000"/>
        </w:rPr>
        <w:t>and</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the</w:t>
      </w:r>
      <w:proofErr w:type="spellEnd"/>
      <w:r w:rsidRPr="00BB2B60">
        <w:rPr>
          <w:rFonts w:ascii="Times New Roman" w:hAnsi="Times New Roman" w:cs="Times New Roman"/>
          <w:color w:val="000000"/>
        </w:rPr>
        <w:t xml:space="preserve"> Quality-</w:t>
      </w:r>
      <w:proofErr w:type="spellStart"/>
      <w:r w:rsidRPr="00BB2B60">
        <w:rPr>
          <w:rFonts w:ascii="Times New Roman" w:hAnsi="Times New Roman" w:cs="Times New Roman"/>
          <w:color w:val="000000"/>
        </w:rPr>
        <w:t>Adjusted</w:t>
      </w:r>
      <w:proofErr w:type="spellEnd"/>
      <w:r w:rsidRPr="00BB2B60">
        <w:rPr>
          <w:rFonts w:ascii="Times New Roman" w:hAnsi="Times New Roman" w:cs="Times New Roman"/>
          <w:color w:val="000000"/>
        </w:rPr>
        <w:t xml:space="preserve"> </w:t>
      </w:r>
      <w:proofErr w:type="spellStart"/>
      <w:r w:rsidRPr="00BB2B60">
        <w:rPr>
          <w:rFonts w:ascii="Times New Roman" w:hAnsi="Times New Roman" w:cs="Times New Roman"/>
          <w:color w:val="000000"/>
        </w:rPr>
        <w:t>Labour</w:t>
      </w:r>
      <w:proofErr w:type="spellEnd"/>
      <w:r w:rsidRPr="00BB2B60">
        <w:rPr>
          <w:rFonts w:ascii="Times New Roman" w:hAnsi="Times New Roman" w:cs="Times New Roman"/>
          <w:color w:val="000000"/>
        </w:rPr>
        <w:t xml:space="preserve"> Index (QALI) (r = 0.0987).</w:t>
      </w:r>
    </w:p>
    <w:p w14:paraId="74A75242" w14:textId="77777777" w:rsidR="00DF7CCE" w:rsidRDefault="00DF7CCE" w:rsidP="00A478F4">
      <w:pPr>
        <w:widowControl w:val="0"/>
        <w:autoSpaceDE w:val="0"/>
        <w:autoSpaceDN w:val="0"/>
        <w:adjustRightInd w:val="0"/>
        <w:spacing w:after="0" w:line="240" w:lineRule="auto"/>
        <w:jc w:val="both"/>
        <w:rPr>
          <w:rFonts w:ascii="Times New Roman" w:hAnsi="Times New Roman" w:cs="Times New Roman"/>
          <w:b/>
          <w:bCs/>
          <w:lang w:val="en-US"/>
        </w:rPr>
      </w:pPr>
    </w:p>
    <w:p w14:paraId="6718A9DE" w14:textId="38398669" w:rsidR="00D5329D" w:rsidRDefault="00BB2B60" w:rsidP="008475D9">
      <w:pPr>
        <w:spacing w:line="360" w:lineRule="auto"/>
        <w:rPr>
          <w:rFonts w:ascii="Times New Roman" w:hAnsi="Times New Roman" w:cs="Times New Roman"/>
          <w:i/>
          <w:iCs/>
          <w:color w:val="000000"/>
        </w:rPr>
      </w:pPr>
      <w:r w:rsidRPr="00DA15E4">
        <w:rPr>
          <w:rFonts w:ascii="Times New Roman" w:hAnsi="Times New Roman" w:cs="Times New Roman"/>
          <w:i/>
          <w:iCs/>
          <w:color w:val="000000"/>
        </w:rPr>
        <w:t>Table</w:t>
      </w:r>
      <w:r w:rsidR="00DA15E4">
        <w:rPr>
          <w:rFonts w:ascii="Times New Roman" w:hAnsi="Times New Roman" w:cs="Times New Roman"/>
          <w:i/>
          <w:iCs/>
          <w:color w:val="000000"/>
        </w:rPr>
        <w:t xml:space="preserve"> </w:t>
      </w:r>
      <w:proofErr w:type="spellStart"/>
      <w:r w:rsidR="00DA15E4">
        <w:rPr>
          <w:rFonts w:ascii="Times New Roman" w:hAnsi="Times New Roman" w:cs="Times New Roman"/>
          <w:i/>
          <w:iCs/>
          <w:color w:val="000000"/>
        </w:rPr>
        <w:t>no</w:t>
      </w:r>
      <w:proofErr w:type="spellEnd"/>
      <w:r w:rsidR="00DA15E4">
        <w:rPr>
          <w:rFonts w:ascii="Times New Roman" w:hAnsi="Times New Roman" w:cs="Times New Roman"/>
          <w:i/>
          <w:iCs/>
          <w:color w:val="000000"/>
        </w:rPr>
        <w:t>.</w:t>
      </w:r>
      <w:r w:rsidRPr="00DA15E4">
        <w:rPr>
          <w:rFonts w:ascii="Times New Roman" w:hAnsi="Times New Roman" w:cs="Times New Roman"/>
          <w:i/>
          <w:iCs/>
          <w:color w:val="000000"/>
        </w:rPr>
        <w:t xml:space="preserve"> 1. </w:t>
      </w:r>
      <w:proofErr w:type="spellStart"/>
      <w:r w:rsidRPr="00DA15E4">
        <w:rPr>
          <w:rFonts w:ascii="Times New Roman" w:hAnsi="Times New Roman" w:cs="Times New Roman"/>
          <w:i/>
          <w:iCs/>
          <w:color w:val="000000"/>
        </w:rPr>
        <w:t>Results</w:t>
      </w:r>
      <w:proofErr w:type="spellEnd"/>
      <w:r w:rsidRPr="00DA15E4">
        <w:rPr>
          <w:rFonts w:ascii="Times New Roman" w:hAnsi="Times New Roman" w:cs="Times New Roman"/>
          <w:i/>
          <w:iCs/>
          <w:color w:val="000000"/>
        </w:rPr>
        <w:t xml:space="preserve"> of </w:t>
      </w:r>
      <w:proofErr w:type="spellStart"/>
      <w:r w:rsidRPr="00DA15E4">
        <w:rPr>
          <w:rFonts w:ascii="Times New Roman" w:hAnsi="Times New Roman" w:cs="Times New Roman"/>
          <w:i/>
          <w:iCs/>
          <w:color w:val="000000"/>
        </w:rPr>
        <w:t>the</w:t>
      </w:r>
      <w:proofErr w:type="spellEnd"/>
      <w:r w:rsidRPr="00DA15E4">
        <w:rPr>
          <w:rFonts w:ascii="Times New Roman" w:hAnsi="Times New Roman" w:cs="Times New Roman"/>
          <w:i/>
          <w:iCs/>
          <w:color w:val="000000"/>
        </w:rPr>
        <w:t xml:space="preserve"> </w:t>
      </w:r>
      <w:proofErr w:type="spellStart"/>
      <w:r w:rsidRPr="00DA15E4">
        <w:rPr>
          <w:rFonts w:ascii="Times New Roman" w:hAnsi="Times New Roman" w:cs="Times New Roman"/>
          <w:i/>
          <w:iCs/>
          <w:color w:val="000000"/>
        </w:rPr>
        <w:t>Multivariate</w:t>
      </w:r>
      <w:proofErr w:type="spellEnd"/>
      <w:r w:rsidRPr="00DA15E4">
        <w:rPr>
          <w:rFonts w:ascii="Times New Roman" w:hAnsi="Times New Roman" w:cs="Times New Roman"/>
          <w:i/>
          <w:iCs/>
          <w:color w:val="000000"/>
        </w:rPr>
        <w:t xml:space="preserve"> </w:t>
      </w:r>
      <w:proofErr w:type="spellStart"/>
      <w:r w:rsidRPr="00DA15E4">
        <w:rPr>
          <w:rFonts w:ascii="Times New Roman" w:hAnsi="Times New Roman" w:cs="Times New Roman"/>
          <w:i/>
          <w:iCs/>
          <w:color w:val="000000"/>
        </w:rPr>
        <w:t>Regression</w:t>
      </w:r>
      <w:proofErr w:type="spellEnd"/>
    </w:p>
    <w:tbl>
      <w:tblPr>
        <w:tblW w:w="87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5387"/>
      </w:tblGrid>
      <w:tr w:rsidR="00D5329D" w14:paraId="13D0C224" w14:textId="77777777" w:rsidTr="00CA56AE">
        <w:trPr>
          <w:trHeight w:val="438"/>
        </w:trPr>
        <w:tc>
          <w:tcPr>
            <w:tcW w:w="8712" w:type="dxa"/>
            <w:gridSpan w:val="2"/>
          </w:tcPr>
          <w:p w14:paraId="1606D6B0" w14:textId="77777777" w:rsidR="00D5329D" w:rsidRPr="00D5329D" w:rsidRDefault="00D5329D" w:rsidP="00D5329D">
            <w:pPr>
              <w:spacing w:after="0" w:line="360" w:lineRule="auto"/>
              <w:rPr>
                <w:rFonts w:ascii="Times New Roman" w:hAnsi="Times New Roman" w:cs="Times New Roman"/>
              </w:rPr>
            </w:pPr>
            <w:proofErr w:type="spellStart"/>
            <w:r w:rsidRPr="00D5329D">
              <w:rPr>
                <w:rFonts w:ascii="Times New Roman" w:hAnsi="Times New Roman" w:cs="Times New Roman"/>
              </w:rPr>
              <w:t>Regression</w:t>
            </w:r>
            <w:proofErr w:type="spellEnd"/>
            <w:r w:rsidRPr="00D5329D">
              <w:rPr>
                <w:rFonts w:ascii="Times New Roman" w:hAnsi="Times New Roman" w:cs="Times New Roman"/>
              </w:rPr>
              <w:t xml:space="preserve"> of </w:t>
            </w:r>
            <w:proofErr w:type="spellStart"/>
            <w:r w:rsidRPr="00D5329D">
              <w:rPr>
                <w:rFonts w:ascii="Times New Roman" w:hAnsi="Times New Roman" w:cs="Times New Roman"/>
              </w:rPr>
              <w:t>the</w:t>
            </w:r>
            <w:proofErr w:type="spellEnd"/>
            <w:r w:rsidRPr="00D5329D">
              <w:rPr>
                <w:rFonts w:ascii="Times New Roman" w:hAnsi="Times New Roman" w:cs="Times New Roman"/>
              </w:rPr>
              <w:t xml:space="preserve"> </w:t>
            </w:r>
            <w:proofErr w:type="spellStart"/>
            <w:r w:rsidRPr="00D5329D">
              <w:rPr>
                <w:rFonts w:ascii="Times New Roman" w:hAnsi="Times New Roman" w:cs="Times New Roman"/>
              </w:rPr>
              <w:t>variable</w:t>
            </w:r>
            <w:proofErr w:type="spellEnd"/>
            <w:r w:rsidRPr="00D5329D">
              <w:rPr>
                <w:rFonts w:ascii="Times New Roman" w:hAnsi="Times New Roman" w:cs="Times New Roman"/>
              </w:rPr>
              <w:t xml:space="preserve"> – PPP capital </w:t>
            </w:r>
            <w:proofErr w:type="spellStart"/>
            <w:r w:rsidRPr="00D5329D">
              <w:rPr>
                <w:rFonts w:ascii="Times New Roman" w:hAnsi="Times New Roman" w:cs="Times New Roman"/>
              </w:rPr>
              <w:t>value</w:t>
            </w:r>
            <w:proofErr w:type="spellEnd"/>
            <w:r w:rsidRPr="00D5329D">
              <w:rPr>
                <w:rFonts w:ascii="Times New Roman" w:hAnsi="Times New Roman" w:cs="Times New Roman"/>
              </w:rPr>
              <w:t xml:space="preserve">, cumulative for </w:t>
            </w:r>
            <w:proofErr w:type="spellStart"/>
            <w:r w:rsidRPr="00D5329D">
              <w:rPr>
                <w:rFonts w:ascii="Times New Roman" w:hAnsi="Times New Roman" w:cs="Times New Roman"/>
              </w:rPr>
              <w:t>the</w:t>
            </w:r>
            <w:proofErr w:type="spellEnd"/>
            <w:r w:rsidRPr="00D5329D">
              <w:rPr>
                <w:rFonts w:ascii="Times New Roman" w:hAnsi="Times New Roman" w:cs="Times New Roman"/>
              </w:rPr>
              <w:t xml:space="preserve"> period 2012–2024</w:t>
            </w:r>
          </w:p>
          <w:p w14:paraId="1AADACF4" w14:textId="696778CA" w:rsidR="00D5329D" w:rsidRDefault="00D5329D" w:rsidP="00D5329D">
            <w:pPr>
              <w:spacing w:after="0" w:line="360" w:lineRule="auto"/>
              <w:rPr>
                <w:rFonts w:ascii="Times New Roman" w:hAnsi="Times New Roman" w:cs="Times New Roman"/>
                <w:i/>
                <w:iCs/>
                <w:color w:val="000000"/>
              </w:rPr>
            </w:pPr>
            <w:r w:rsidRPr="00D5329D">
              <w:rPr>
                <w:rFonts w:ascii="Times New Roman" w:hAnsi="Times New Roman" w:cs="Times New Roman"/>
              </w:rPr>
              <w:t xml:space="preserve">Model </w:t>
            </w:r>
            <w:proofErr w:type="spellStart"/>
            <w:r w:rsidRPr="00D5329D">
              <w:rPr>
                <w:rFonts w:ascii="Times New Roman" w:hAnsi="Times New Roman" w:cs="Times New Roman"/>
              </w:rPr>
              <w:t>adequacy</w:t>
            </w:r>
            <w:proofErr w:type="spellEnd"/>
            <w:r w:rsidRPr="00D5329D">
              <w:rPr>
                <w:rFonts w:ascii="Times New Roman" w:hAnsi="Times New Roman" w:cs="Times New Roman"/>
              </w:rPr>
              <w:t xml:space="preserve"> </w:t>
            </w:r>
            <w:proofErr w:type="spellStart"/>
            <w:r w:rsidRPr="00D5329D">
              <w:rPr>
                <w:rFonts w:ascii="Times New Roman" w:hAnsi="Times New Roman" w:cs="Times New Roman"/>
              </w:rPr>
              <w:t>statistics</w:t>
            </w:r>
            <w:proofErr w:type="spellEnd"/>
            <w:r w:rsidRPr="00D5329D">
              <w:rPr>
                <w:rFonts w:ascii="Times New Roman" w:hAnsi="Times New Roman" w:cs="Times New Roman"/>
              </w:rPr>
              <w:t xml:space="preserve"> (PPP capital </w:t>
            </w:r>
            <w:proofErr w:type="spellStart"/>
            <w:r w:rsidRPr="00D5329D">
              <w:rPr>
                <w:rFonts w:ascii="Times New Roman" w:hAnsi="Times New Roman" w:cs="Times New Roman"/>
              </w:rPr>
              <w:t>value</w:t>
            </w:r>
            <w:proofErr w:type="spellEnd"/>
            <w:r w:rsidRPr="00D5329D">
              <w:rPr>
                <w:rFonts w:ascii="Times New Roman" w:hAnsi="Times New Roman" w:cs="Times New Roman"/>
              </w:rPr>
              <w:t xml:space="preserve">, cumulative for </w:t>
            </w:r>
            <w:proofErr w:type="spellStart"/>
            <w:r w:rsidRPr="00D5329D">
              <w:rPr>
                <w:rFonts w:ascii="Times New Roman" w:hAnsi="Times New Roman" w:cs="Times New Roman"/>
              </w:rPr>
              <w:t>the</w:t>
            </w:r>
            <w:proofErr w:type="spellEnd"/>
            <w:r w:rsidRPr="00D5329D">
              <w:rPr>
                <w:rFonts w:ascii="Times New Roman" w:hAnsi="Times New Roman" w:cs="Times New Roman"/>
              </w:rPr>
              <w:t xml:space="preserve"> period 2012–2024)</w:t>
            </w:r>
          </w:p>
        </w:tc>
      </w:tr>
      <w:tr w:rsidR="00D5329D" w14:paraId="026C5A8D" w14:textId="77777777" w:rsidTr="00CA56A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5387" w:type="dxa"/>
          <w:trHeight w:val="228"/>
        </w:trPr>
        <w:tc>
          <w:tcPr>
            <w:tcW w:w="3325" w:type="dxa"/>
            <w:tcBorders>
              <w:top w:val="single" w:sz="4" w:space="0" w:color="auto"/>
              <w:left w:val="single" w:sz="4" w:space="0" w:color="auto"/>
              <w:bottom w:val="single" w:sz="4" w:space="0" w:color="auto"/>
              <w:right w:val="single" w:sz="4" w:space="0" w:color="auto"/>
            </w:tcBorders>
          </w:tcPr>
          <w:p w14:paraId="17CF2FE0" w14:textId="71B58008" w:rsidR="00D5329D" w:rsidRPr="00CA56AE" w:rsidRDefault="00D5329D" w:rsidP="00CA56AE">
            <w:pPr>
              <w:tabs>
                <w:tab w:val="left" w:pos="2191"/>
              </w:tabs>
              <w:spacing w:after="0" w:line="360" w:lineRule="auto"/>
              <w:rPr>
                <w:rFonts w:ascii="Times New Roman" w:hAnsi="Times New Roman" w:cs="Times New Roman"/>
                <w:color w:val="000000"/>
              </w:rPr>
            </w:pPr>
            <w:proofErr w:type="spellStart"/>
            <w:r w:rsidRPr="00CA56AE">
              <w:rPr>
                <w:rFonts w:ascii="Times New Roman" w:hAnsi="Times New Roman" w:cs="Times New Roman"/>
                <w:color w:val="000000"/>
              </w:rPr>
              <w:t>O</w:t>
            </w:r>
            <w:r w:rsidRPr="00CA56AE">
              <w:rPr>
                <w:rFonts w:ascii="Times New Roman" w:hAnsi="Times New Roman" w:cs="Times New Roman"/>
              </w:rPr>
              <w:t>bservations</w:t>
            </w:r>
            <w:proofErr w:type="spellEnd"/>
            <w:r w:rsidR="00CA56AE" w:rsidRPr="00CA56AE">
              <w:rPr>
                <w:rFonts w:ascii="Times New Roman" w:hAnsi="Times New Roman" w:cs="Times New Roman"/>
              </w:rPr>
              <w:t xml:space="preserve">                   </w:t>
            </w:r>
            <w:r w:rsidR="00CA56AE" w:rsidRPr="00CA56AE">
              <w:rPr>
                <w:rFonts w:ascii="Times New Roman" w:hAnsi="Times New Roman" w:cs="Times New Roman"/>
                <w:color w:val="000000"/>
              </w:rPr>
              <w:t xml:space="preserve"> 28,000</w:t>
            </w:r>
            <w:r w:rsidR="00CA56AE" w:rsidRPr="00CA56AE">
              <w:rPr>
                <w:rFonts w:ascii="Times New Roman" w:hAnsi="Times New Roman" w:cs="Times New Roman"/>
              </w:rPr>
              <w:t xml:space="preserve">            </w:t>
            </w:r>
          </w:p>
        </w:tc>
      </w:tr>
      <w:tr w:rsidR="00D5329D" w14:paraId="0ADBFA19" w14:textId="77777777" w:rsidTr="00CA56A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5387" w:type="dxa"/>
          <w:trHeight w:val="338"/>
        </w:trPr>
        <w:tc>
          <w:tcPr>
            <w:tcW w:w="3325" w:type="dxa"/>
            <w:tcBorders>
              <w:top w:val="single" w:sz="4" w:space="0" w:color="auto"/>
              <w:left w:val="single" w:sz="4" w:space="0" w:color="auto"/>
              <w:bottom w:val="single" w:sz="4" w:space="0" w:color="auto"/>
              <w:right w:val="single" w:sz="4" w:space="0" w:color="auto"/>
            </w:tcBorders>
          </w:tcPr>
          <w:p w14:paraId="2B727E74" w14:textId="7682BC43" w:rsidR="00D5329D" w:rsidRPr="00CA56AE" w:rsidRDefault="00D5329D" w:rsidP="00CA56AE">
            <w:pPr>
              <w:tabs>
                <w:tab w:val="left" w:pos="2191"/>
              </w:tabs>
              <w:spacing w:after="0" w:line="360" w:lineRule="auto"/>
              <w:rPr>
                <w:rFonts w:ascii="Times New Roman" w:hAnsi="Times New Roman" w:cs="Times New Roman"/>
                <w:color w:val="000000"/>
              </w:rPr>
            </w:pPr>
            <w:proofErr w:type="spellStart"/>
            <w:r w:rsidRPr="00CA56AE">
              <w:rPr>
                <w:rFonts w:ascii="Times New Roman" w:hAnsi="Times New Roman" w:cs="Times New Roman"/>
                <w:color w:val="000000"/>
              </w:rPr>
              <w:t>Summ</w:t>
            </w:r>
            <w:proofErr w:type="spellEnd"/>
            <w:r w:rsidRPr="00CA56AE">
              <w:rPr>
                <w:rFonts w:ascii="Times New Roman" w:hAnsi="Times New Roman" w:cs="Times New Roman"/>
                <w:color w:val="000000"/>
              </w:rPr>
              <w:t xml:space="preserve"> of </w:t>
            </w:r>
            <w:proofErr w:type="spellStart"/>
            <w:r w:rsidRPr="00CA56AE">
              <w:rPr>
                <w:rFonts w:ascii="Times New Roman" w:hAnsi="Times New Roman" w:cs="Times New Roman"/>
                <w:color w:val="000000"/>
              </w:rPr>
              <w:t>weight</w:t>
            </w:r>
            <w:r w:rsidR="00FF1710">
              <w:rPr>
                <w:rFonts w:ascii="Times New Roman" w:hAnsi="Times New Roman" w:cs="Times New Roman"/>
                <w:color w:val="000000"/>
              </w:rPr>
              <w:t>s</w:t>
            </w:r>
            <w:proofErr w:type="spellEnd"/>
            <w:r w:rsidR="00CA56AE" w:rsidRPr="00CA56AE">
              <w:rPr>
                <w:rFonts w:ascii="Times New Roman" w:hAnsi="Times New Roman" w:cs="Times New Roman"/>
                <w:color w:val="000000"/>
              </w:rPr>
              <w:tab/>
              <w:t xml:space="preserve"> 28,000</w:t>
            </w:r>
          </w:p>
          <w:p w14:paraId="749B3E20" w14:textId="29AA8928" w:rsidR="00D5329D" w:rsidRPr="00CA56AE" w:rsidRDefault="00D5329D" w:rsidP="00CA56AE">
            <w:pPr>
              <w:spacing w:after="0" w:line="360" w:lineRule="auto"/>
              <w:rPr>
                <w:rFonts w:ascii="Times New Roman" w:hAnsi="Times New Roman" w:cs="Times New Roman"/>
                <w:color w:val="000000"/>
              </w:rPr>
            </w:pPr>
            <w:r w:rsidRPr="00CA56AE">
              <w:rPr>
                <w:rFonts w:ascii="Times New Roman" w:hAnsi="Times New Roman" w:cs="Times New Roman"/>
                <w:color w:val="000000"/>
              </w:rPr>
              <w:t>DF</w:t>
            </w:r>
            <w:r w:rsidR="00CA56AE" w:rsidRPr="00CA56AE">
              <w:rPr>
                <w:rFonts w:ascii="Times New Roman" w:hAnsi="Times New Roman" w:cs="Times New Roman"/>
                <w:color w:val="000000"/>
              </w:rPr>
              <w:t xml:space="preserve">                                </w:t>
            </w:r>
            <w:r w:rsidR="00CA56AE">
              <w:rPr>
                <w:rFonts w:ascii="Times New Roman" w:hAnsi="Times New Roman" w:cs="Times New Roman"/>
                <w:color w:val="000000"/>
              </w:rPr>
              <w:t xml:space="preserve"> </w:t>
            </w:r>
            <w:r w:rsidR="00CA56AE" w:rsidRPr="00CA56AE">
              <w:rPr>
                <w:rFonts w:ascii="Times New Roman" w:hAnsi="Times New Roman" w:cs="Times New Roman"/>
                <w:color w:val="000000"/>
              </w:rPr>
              <w:t xml:space="preserve">   28,000</w:t>
            </w:r>
          </w:p>
          <w:p w14:paraId="3B3EF091" w14:textId="362691C5" w:rsidR="00D5329D" w:rsidRPr="00CA56AE" w:rsidRDefault="00D5329D" w:rsidP="00CA56AE">
            <w:pPr>
              <w:spacing w:after="0" w:line="360" w:lineRule="auto"/>
              <w:rPr>
                <w:rFonts w:ascii="Times New Roman" w:hAnsi="Times New Roman" w:cs="Times New Roman"/>
                <w:color w:val="000000"/>
              </w:rPr>
            </w:pPr>
            <w:r w:rsidRPr="00CA56AE">
              <w:rPr>
                <w:rFonts w:ascii="Times New Roman" w:hAnsi="Times New Roman" w:cs="Times New Roman"/>
                <w:color w:val="000000"/>
              </w:rPr>
              <w:t>R2</w:t>
            </w:r>
            <w:r w:rsidR="00CA56AE" w:rsidRPr="00CA56AE">
              <w:rPr>
                <w:rFonts w:ascii="Times New Roman" w:hAnsi="Times New Roman" w:cs="Times New Roman"/>
                <w:color w:val="000000"/>
              </w:rPr>
              <w:t xml:space="preserve">                                 </w:t>
            </w:r>
            <w:r w:rsidR="00CA56AE">
              <w:rPr>
                <w:rFonts w:ascii="Times New Roman" w:hAnsi="Times New Roman" w:cs="Times New Roman"/>
                <w:color w:val="000000"/>
              </w:rPr>
              <w:t xml:space="preserve"> </w:t>
            </w:r>
            <w:r w:rsidR="00CA56AE" w:rsidRPr="00CA56AE">
              <w:rPr>
                <w:rFonts w:ascii="Times New Roman" w:hAnsi="Times New Roman" w:cs="Times New Roman"/>
                <w:color w:val="000000"/>
              </w:rPr>
              <w:t xml:space="preserve">  0</w:t>
            </w:r>
            <w:r w:rsidR="00FF1710">
              <w:rPr>
                <w:rFonts w:ascii="Times New Roman" w:hAnsi="Times New Roman" w:cs="Times New Roman"/>
                <w:color w:val="000000"/>
              </w:rPr>
              <w:t>.</w:t>
            </w:r>
            <w:r w:rsidR="00CA56AE" w:rsidRPr="00CA56AE">
              <w:rPr>
                <w:rFonts w:ascii="Times New Roman" w:hAnsi="Times New Roman" w:cs="Times New Roman"/>
                <w:color w:val="000000"/>
              </w:rPr>
              <w:t>7812</w:t>
            </w:r>
          </w:p>
          <w:p w14:paraId="7A21BE59" w14:textId="6DBC73CD" w:rsidR="00D5329D" w:rsidRPr="00CA56AE" w:rsidRDefault="00D5329D" w:rsidP="00CA56AE">
            <w:pPr>
              <w:spacing w:after="0" w:line="360" w:lineRule="auto"/>
              <w:rPr>
                <w:rFonts w:ascii="Times New Roman" w:hAnsi="Times New Roman" w:cs="Times New Roman"/>
                <w:color w:val="000000"/>
              </w:rPr>
            </w:pPr>
            <w:proofErr w:type="spellStart"/>
            <w:r w:rsidRPr="00CA56AE">
              <w:rPr>
                <w:rFonts w:ascii="Times New Roman" w:hAnsi="Times New Roman" w:cs="Times New Roman"/>
                <w:color w:val="000000"/>
              </w:rPr>
              <w:t>Adjusted</w:t>
            </w:r>
            <w:proofErr w:type="spellEnd"/>
            <w:r w:rsidRPr="00CA56AE">
              <w:rPr>
                <w:rFonts w:ascii="Times New Roman" w:hAnsi="Times New Roman" w:cs="Times New Roman"/>
                <w:color w:val="000000"/>
              </w:rPr>
              <w:t xml:space="preserve"> R2</w:t>
            </w:r>
            <w:r w:rsidR="00CA56AE" w:rsidRPr="00CA56AE">
              <w:rPr>
                <w:rFonts w:ascii="Times New Roman" w:hAnsi="Times New Roman" w:cs="Times New Roman"/>
                <w:color w:val="000000"/>
              </w:rPr>
              <w:t xml:space="preserve">                  </w:t>
            </w:r>
            <w:r w:rsidR="00CA56AE">
              <w:rPr>
                <w:rFonts w:ascii="Times New Roman" w:hAnsi="Times New Roman" w:cs="Times New Roman"/>
                <w:color w:val="000000"/>
              </w:rPr>
              <w:t xml:space="preserve"> </w:t>
            </w:r>
            <w:r w:rsidR="00CA56AE" w:rsidRPr="00CA56AE">
              <w:rPr>
                <w:rFonts w:ascii="Times New Roman" w:hAnsi="Times New Roman" w:cs="Times New Roman"/>
                <w:color w:val="000000"/>
              </w:rPr>
              <w:t xml:space="preserve"> </w:t>
            </w:r>
            <w:r w:rsidR="00CA56AE">
              <w:rPr>
                <w:rFonts w:ascii="Times New Roman" w:hAnsi="Times New Roman" w:cs="Times New Roman"/>
                <w:color w:val="000000"/>
              </w:rPr>
              <w:t xml:space="preserve"> </w:t>
            </w:r>
            <w:r w:rsidR="00CA56AE" w:rsidRPr="00CA56AE">
              <w:rPr>
                <w:rFonts w:ascii="Times New Roman" w:hAnsi="Times New Roman" w:cs="Times New Roman"/>
                <w:color w:val="000000"/>
              </w:rPr>
              <w:t>0</w:t>
            </w:r>
            <w:r w:rsidR="00FF1710">
              <w:rPr>
                <w:rFonts w:ascii="Times New Roman" w:hAnsi="Times New Roman" w:cs="Times New Roman"/>
                <w:color w:val="000000"/>
              </w:rPr>
              <w:t>.</w:t>
            </w:r>
            <w:r w:rsidR="00CA56AE" w:rsidRPr="00CA56AE">
              <w:rPr>
                <w:rFonts w:ascii="Times New Roman" w:hAnsi="Times New Roman" w:cs="Times New Roman"/>
                <w:color w:val="000000"/>
              </w:rPr>
              <w:t>7314</w:t>
            </w:r>
          </w:p>
          <w:p w14:paraId="2008BED3" w14:textId="0D1959DD" w:rsidR="00D5329D" w:rsidRPr="00CA56AE" w:rsidRDefault="00D5329D" w:rsidP="00CA56AE">
            <w:pPr>
              <w:spacing w:after="0" w:line="360" w:lineRule="auto"/>
              <w:rPr>
                <w:rFonts w:ascii="Times New Roman" w:hAnsi="Times New Roman" w:cs="Times New Roman"/>
                <w:color w:val="000000"/>
              </w:rPr>
            </w:pPr>
            <w:r w:rsidRPr="00CA56AE">
              <w:rPr>
                <w:rFonts w:ascii="Times New Roman" w:hAnsi="Times New Roman" w:cs="Times New Roman"/>
                <w:color w:val="000000"/>
              </w:rPr>
              <w:t>MSE</w:t>
            </w:r>
            <w:r w:rsidR="00CA56AE" w:rsidRPr="00CA56AE">
              <w:rPr>
                <w:rFonts w:ascii="Times New Roman" w:hAnsi="Times New Roman" w:cs="Times New Roman"/>
                <w:color w:val="000000"/>
              </w:rPr>
              <w:t xml:space="preserve">                              </w:t>
            </w:r>
            <w:r w:rsidR="00CA56AE">
              <w:rPr>
                <w:rFonts w:ascii="Times New Roman" w:hAnsi="Times New Roman" w:cs="Times New Roman"/>
                <w:color w:val="000000"/>
              </w:rPr>
              <w:t xml:space="preserve">  </w:t>
            </w:r>
            <w:r w:rsidR="00CA56AE" w:rsidRPr="00CA56AE">
              <w:rPr>
                <w:rFonts w:ascii="Times New Roman" w:hAnsi="Times New Roman" w:cs="Times New Roman"/>
                <w:color w:val="000000"/>
              </w:rPr>
              <w:t xml:space="preserve"> 0</w:t>
            </w:r>
            <w:r w:rsidR="00FF1710">
              <w:rPr>
                <w:rFonts w:ascii="Times New Roman" w:hAnsi="Times New Roman" w:cs="Times New Roman"/>
                <w:color w:val="000000"/>
              </w:rPr>
              <w:t>.</w:t>
            </w:r>
            <w:r w:rsidR="00CA56AE" w:rsidRPr="00CA56AE">
              <w:rPr>
                <w:rFonts w:ascii="Times New Roman" w:hAnsi="Times New Roman" w:cs="Times New Roman"/>
                <w:color w:val="000000"/>
              </w:rPr>
              <w:t>0108</w:t>
            </w:r>
          </w:p>
          <w:p w14:paraId="02ECC119" w14:textId="31E070F0" w:rsidR="00D5329D" w:rsidRPr="00CA56AE" w:rsidRDefault="00D5329D" w:rsidP="00CA56AE">
            <w:pPr>
              <w:spacing w:after="0" w:line="360" w:lineRule="auto"/>
              <w:rPr>
                <w:rFonts w:ascii="Times New Roman" w:hAnsi="Times New Roman" w:cs="Times New Roman"/>
                <w:color w:val="000000"/>
              </w:rPr>
            </w:pPr>
            <w:r w:rsidRPr="00CA56AE">
              <w:rPr>
                <w:rFonts w:ascii="Times New Roman" w:hAnsi="Times New Roman" w:cs="Times New Roman"/>
                <w:color w:val="000000"/>
              </w:rPr>
              <w:t>RMSE</w:t>
            </w:r>
            <w:r w:rsidR="00CA56AE" w:rsidRPr="00CA56AE">
              <w:rPr>
                <w:rFonts w:ascii="Times New Roman" w:hAnsi="Times New Roman" w:cs="Times New Roman"/>
                <w:color w:val="000000"/>
              </w:rPr>
              <w:t xml:space="preserve">                         </w:t>
            </w:r>
            <w:r w:rsidR="00CA56AE">
              <w:rPr>
                <w:rFonts w:ascii="Times New Roman" w:hAnsi="Times New Roman" w:cs="Times New Roman"/>
                <w:color w:val="000000"/>
              </w:rPr>
              <w:t xml:space="preserve"> </w:t>
            </w:r>
            <w:r w:rsidR="00CA56AE" w:rsidRPr="00CA56AE">
              <w:rPr>
                <w:rFonts w:ascii="Times New Roman" w:hAnsi="Times New Roman" w:cs="Times New Roman"/>
                <w:color w:val="000000"/>
              </w:rPr>
              <w:t xml:space="preserve">  </w:t>
            </w:r>
            <w:r w:rsidR="00CA56AE">
              <w:rPr>
                <w:rFonts w:ascii="Times New Roman" w:hAnsi="Times New Roman" w:cs="Times New Roman"/>
                <w:color w:val="000000"/>
              </w:rPr>
              <w:t xml:space="preserve"> </w:t>
            </w:r>
            <w:r w:rsidR="00CA56AE" w:rsidRPr="00CA56AE">
              <w:rPr>
                <w:rFonts w:ascii="Times New Roman" w:hAnsi="Times New Roman" w:cs="Times New Roman"/>
                <w:color w:val="000000"/>
              </w:rPr>
              <w:t xml:space="preserve"> 0</w:t>
            </w:r>
            <w:r w:rsidR="00FF1710">
              <w:rPr>
                <w:rFonts w:ascii="Times New Roman" w:hAnsi="Times New Roman" w:cs="Times New Roman"/>
                <w:color w:val="000000"/>
              </w:rPr>
              <w:t>.</w:t>
            </w:r>
            <w:r w:rsidR="00CA56AE" w:rsidRPr="00CA56AE">
              <w:rPr>
                <w:rFonts w:ascii="Times New Roman" w:hAnsi="Times New Roman" w:cs="Times New Roman"/>
                <w:color w:val="000000"/>
              </w:rPr>
              <w:t>1039</w:t>
            </w:r>
          </w:p>
          <w:p w14:paraId="1EBB19DD" w14:textId="27643375" w:rsidR="00CA56AE" w:rsidRDefault="00CA56AE" w:rsidP="00CA56AE">
            <w:pPr>
              <w:spacing w:after="0" w:line="360" w:lineRule="auto"/>
              <w:rPr>
                <w:rFonts w:ascii="Times New Roman" w:hAnsi="Times New Roman" w:cs="Times New Roman"/>
                <w:i/>
                <w:iCs/>
                <w:color w:val="000000"/>
              </w:rPr>
            </w:pPr>
            <w:r w:rsidRPr="00CA56AE">
              <w:rPr>
                <w:rFonts w:ascii="Times New Roman" w:hAnsi="Times New Roman" w:cs="Times New Roman"/>
                <w:color w:val="000000"/>
              </w:rPr>
              <w:t xml:space="preserve">DW                               </w:t>
            </w:r>
            <w:r>
              <w:rPr>
                <w:rFonts w:ascii="Times New Roman" w:hAnsi="Times New Roman" w:cs="Times New Roman"/>
                <w:color w:val="000000"/>
              </w:rPr>
              <w:t xml:space="preserve">  </w:t>
            </w:r>
            <w:r w:rsidRPr="00CA56AE">
              <w:rPr>
                <w:rFonts w:ascii="Times New Roman" w:hAnsi="Times New Roman" w:cs="Times New Roman"/>
                <w:color w:val="000000"/>
              </w:rPr>
              <w:t xml:space="preserve"> 1</w:t>
            </w:r>
            <w:r w:rsidR="00FF1710">
              <w:rPr>
                <w:rFonts w:ascii="Times New Roman" w:hAnsi="Times New Roman" w:cs="Times New Roman"/>
                <w:color w:val="000000"/>
              </w:rPr>
              <w:t>.</w:t>
            </w:r>
            <w:r w:rsidRPr="00CA56AE">
              <w:rPr>
                <w:rFonts w:ascii="Times New Roman" w:hAnsi="Times New Roman" w:cs="Times New Roman"/>
                <w:color w:val="000000"/>
              </w:rPr>
              <w:t>4455</w:t>
            </w:r>
          </w:p>
        </w:tc>
      </w:tr>
    </w:tbl>
    <w:p w14:paraId="7EAA7591" w14:textId="71C2C8AD" w:rsidR="00D5329D" w:rsidRDefault="004A2E86" w:rsidP="008475D9">
      <w:pPr>
        <w:spacing w:line="360" w:lineRule="auto"/>
        <w:rPr>
          <w:rFonts w:ascii="Times New Roman" w:hAnsi="Times New Roman" w:cs="Times New Roman"/>
          <w:i/>
          <w:iCs/>
          <w:color w:val="000000"/>
        </w:rPr>
      </w:pPr>
      <w:proofErr w:type="spellStart"/>
      <w:r w:rsidRPr="00BB2B60">
        <w:rPr>
          <w:rFonts w:ascii="Times New Roman" w:hAnsi="Times New Roman" w:cs="Times New Roman"/>
          <w:i/>
          <w:iCs/>
          <w:sz w:val="21"/>
          <w:szCs w:val="21"/>
        </w:rPr>
        <w:t>Source</w:t>
      </w:r>
      <w:proofErr w:type="spellEnd"/>
      <w:r w:rsidRPr="00BB2B60">
        <w:rPr>
          <w:rFonts w:ascii="Times New Roman" w:hAnsi="Times New Roman" w:cs="Times New Roman"/>
          <w:i/>
          <w:iCs/>
          <w:sz w:val="21"/>
          <w:szCs w:val="21"/>
        </w:rPr>
        <w:t xml:space="preserve">: </w:t>
      </w:r>
      <w:proofErr w:type="spellStart"/>
      <w:r w:rsidRPr="00BB2B60">
        <w:rPr>
          <w:rFonts w:ascii="Times New Roman" w:hAnsi="Times New Roman" w:cs="Times New Roman"/>
          <w:i/>
          <w:iCs/>
          <w:sz w:val="21"/>
          <w:szCs w:val="21"/>
        </w:rPr>
        <w:t>Authors</w:t>
      </w:r>
      <w:proofErr w:type="spellEnd"/>
      <w:r w:rsidRPr="00BB2B60">
        <w:rPr>
          <w:rFonts w:ascii="Times New Roman" w:hAnsi="Times New Roman" w:cs="Times New Roman"/>
          <w:i/>
          <w:iCs/>
          <w:sz w:val="21"/>
          <w:szCs w:val="21"/>
          <w:lang w:val="en-US"/>
        </w:rPr>
        <w:t>’ contribution</w:t>
      </w:r>
      <w:r>
        <w:rPr>
          <w:rFonts w:ascii="Times New Roman" w:hAnsi="Times New Roman" w:cs="Times New Roman"/>
          <w:i/>
          <w:iCs/>
          <w:sz w:val="21"/>
          <w:szCs w:val="21"/>
          <w:lang w:val="en-US"/>
        </w:rPr>
        <w:t>, SPSS processing</w:t>
      </w:r>
    </w:p>
    <w:p w14:paraId="14180186" w14:textId="6A2B0B3A" w:rsidR="00CA56AE" w:rsidRPr="00A15970" w:rsidRDefault="004A2E86" w:rsidP="00C24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iCs/>
          <w:lang w:eastAsia="en-US"/>
        </w:rPr>
      </w:pPr>
      <w:r w:rsidRPr="00A15970">
        <w:rPr>
          <w:rFonts w:ascii="Times New Roman" w:hAnsi="Times New Roman" w:cs="Times New Roman"/>
          <w:i/>
          <w:iCs/>
          <w:lang w:val="en" w:eastAsia="en-US"/>
        </w:rPr>
        <w:t xml:space="preserve">Table no. 2. </w:t>
      </w:r>
      <w:r w:rsidR="00CA56AE" w:rsidRPr="00A15970">
        <w:rPr>
          <w:rFonts w:ascii="Times New Roman" w:hAnsi="Times New Roman" w:cs="Times New Roman"/>
          <w:i/>
          <w:iCs/>
          <w:lang w:val="en" w:eastAsia="en-US"/>
        </w:rPr>
        <w:t>M</w:t>
      </w:r>
      <w:r w:rsidR="00CA56AE" w:rsidRPr="00CA56AE">
        <w:rPr>
          <w:rFonts w:ascii="Times New Roman" w:hAnsi="Times New Roman" w:cs="Times New Roman"/>
          <w:i/>
          <w:iCs/>
          <w:lang w:val="en" w:eastAsia="en-US"/>
        </w:rPr>
        <w:t>ulticollinearity statistics</w:t>
      </w:r>
    </w:p>
    <w:tbl>
      <w:tblPr>
        <w:tblStyle w:val="TableGrid"/>
        <w:tblW w:w="0" w:type="auto"/>
        <w:tblLook w:val="04A0" w:firstRow="1" w:lastRow="0" w:firstColumn="1" w:lastColumn="0" w:noHBand="0" w:noVBand="1"/>
      </w:tblPr>
      <w:tblGrid>
        <w:gridCol w:w="1463"/>
        <w:gridCol w:w="1463"/>
        <w:gridCol w:w="1463"/>
        <w:gridCol w:w="1463"/>
        <w:gridCol w:w="1463"/>
        <w:gridCol w:w="1463"/>
      </w:tblGrid>
      <w:tr w:rsidR="00CA56AE" w14:paraId="7F8BD774" w14:textId="77777777" w:rsidTr="00CA56AE">
        <w:tc>
          <w:tcPr>
            <w:tcW w:w="1463" w:type="dxa"/>
          </w:tcPr>
          <w:p w14:paraId="21EBD333" w14:textId="77777777" w:rsidR="00CA56AE" w:rsidRDefault="00CA56AE" w:rsidP="008475D9">
            <w:pPr>
              <w:spacing w:line="360" w:lineRule="auto"/>
              <w:rPr>
                <w:rFonts w:ascii="Times New Roman" w:hAnsi="Times New Roman" w:cs="Times New Roman"/>
                <w:i/>
                <w:iCs/>
                <w:color w:val="000000"/>
              </w:rPr>
            </w:pPr>
          </w:p>
        </w:tc>
        <w:tc>
          <w:tcPr>
            <w:tcW w:w="1463" w:type="dxa"/>
          </w:tcPr>
          <w:p w14:paraId="6F120F8F" w14:textId="36D1EBBE" w:rsidR="00CA56AE" w:rsidRDefault="00C24653" w:rsidP="008475D9">
            <w:pPr>
              <w:spacing w:line="360" w:lineRule="auto"/>
              <w:rPr>
                <w:rFonts w:ascii="Times New Roman" w:hAnsi="Times New Roman" w:cs="Times New Roman"/>
                <w:i/>
                <w:iCs/>
                <w:color w:val="000000"/>
              </w:rPr>
            </w:pPr>
            <w:r>
              <w:rPr>
                <w:rFonts w:ascii="Times New Roman" w:hAnsi="Times New Roman" w:cs="Times New Roman"/>
                <w:i/>
                <w:iCs/>
                <w:color w:val="000000"/>
              </w:rPr>
              <w:t>Var.1</w:t>
            </w:r>
          </w:p>
        </w:tc>
        <w:tc>
          <w:tcPr>
            <w:tcW w:w="1463" w:type="dxa"/>
          </w:tcPr>
          <w:p w14:paraId="22EBDE75" w14:textId="4311DB0B" w:rsidR="00CA56AE" w:rsidRDefault="00C24653" w:rsidP="008475D9">
            <w:pPr>
              <w:spacing w:line="360" w:lineRule="auto"/>
              <w:rPr>
                <w:rFonts w:ascii="Times New Roman" w:hAnsi="Times New Roman" w:cs="Times New Roman"/>
                <w:i/>
                <w:iCs/>
                <w:color w:val="000000"/>
              </w:rPr>
            </w:pPr>
            <w:r>
              <w:rPr>
                <w:rFonts w:ascii="Times New Roman" w:hAnsi="Times New Roman" w:cs="Times New Roman"/>
                <w:i/>
                <w:iCs/>
                <w:color w:val="000000"/>
              </w:rPr>
              <w:t>Var.2</w:t>
            </w:r>
          </w:p>
        </w:tc>
        <w:tc>
          <w:tcPr>
            <w:tcW w:w="1463" w:type="dxa"/>
          </w:tcPr>
          <w:p w14:paraId="4DC1EB92" w14:textId="00ED6F76" w:rsidR="00CA56AE" w:rsidRDefault="00C24653" w:rsidP="008475D9">
            <w:pPr>
              <w:spacing w:line="360" w:lineRule="auto"/>
              <w:rPr>
                <w:rFonts w:ascii="Times New Roman" w:hAnsi="Times New Roman" w:cs="Times New Roman"/>
                <w:i/>
                <w:iCs/>
                <w:color w:val="000000"/>
              </w:rPr>
            </w:pPr>
            <w:r>
              <w:rPr>
                <w:rFonts w:ascii="Times New Roman" w:hAnsi="Times New Roman" w:cs="Times New Roman"/>
                <w:i/>
                <w:iCs/>
                <w:color w:val="000000"/>
              </w:rPr>
              <w:t>Var.3</w:t>
            </w:r>
          </w:p>
        </w:tc>
        <w:tc>
          <w:tcPr>
            <w:tcW w:w="1463" w:type="dxa"/>
          </w:tcPr>
          <w:p w14:paraId="23771B4E" w14:textId="0DAEEDC0" w:rsidR="00CA56AE" w:rsidRDefault="00C24653" w:rsidP="008475D9">
            <w:pPr>
              <w:spacing w:line="360" w:lineRule="auto"/>
              <w:rPr>
                <w:rFonts w:ascii="Times New Roman" w:hAnsi="Times New Roman" w:cs="Times New Roman"/>
                <w:i/>
                <w:iCs/>
                <w:color w:val="000000"/>
              </w:rPr>
            </w:pPr>
            <w:r>
              <w:rPr>
                <w:rFonts w:ascii="Times New Roman" w:hAnsi="Times New Roman" w:cs="Times New Roman"/>
                <w:i/>
                <w:iCs/>
                <w:color w:val="000000"/>
              </w:rPr>
              <w:t>Var.4</w:t>
            </w:r>
          </w:p>
        </w:tc>
        <w:tc>
          <w:tcPr>
            <w:tcW w:w="1463" w:type="dxa"/>
          </w:tcPr>
          <w:p w14:paraId="2B5F3BF4" w14:textId="170AB509" w:rsidR="00CA56AE" w:rsidRDefault="00C24653" w:rsidP="008475D9">
            <w:pPr>
              <w:spacing w:line="360" w:lineRule="auto"/>
              <w:rPr>
                <w:rFonts w:ascii="Times New Roman" w:hAnsi="Times New Roman" w:cs="Times New Roman"/>
                <w:i/>
                <w:iCs/>
                <w:color w:val="000000"/>
              </w:rPr>
            </w:pPr>
            <w:r>
              <w:rPr>
                <w:rFonts w:ascii="Times New Roman" w:hAnsi="Times New Roman" w:cs="Times New Roman"/>
                <w:i/>
                <w:iCs/>
                <w:color w:val="000000"/>
              </w:rPr>
              <w:t>Var.5</w:t>
            </w:r>
          </w:p>
        </w:tc>
      </w:tr>
      <w:tr w:rsidR="00CA56AE" w14:paraId="46C4FF7A" w14:textId="77777777" w:rsidTr="00CA56AE">
        <w:tc>
          <w:tcPr>
            <w:tcW w:w="1463" w:type="dxa"/>
          </w:tcPr>
          <w:p w14:paraId="32D578D9" w14:textId="103BA9D4" w:rsidR="00CA56AE" w:rsidRDefault="00FF1710" w:rsidP="008475D9">
            <w:pPr>
              <w:spacing w:line="360" w:lineRule="auto"/>
              <w:rPr>
                <w:rFonts w:ascii="Times New Roman" w:hAnsi="Times New Roman" w:cs="Times New Roman"/>
                <w:i/>
                <w:iCs/>
                <w:color w:val="000000"/>
              </w:rPr>
            </w:pPr>
            <w:proofErr w:type="spellStart"/>
            <w:r>
              <w:rPr>
                <w:rFonts w:ascii="Times New Roman" w:hAnsi="Times New Roman" w:cs="Times New Roman"/>
                <w:i/>
                <w:iCs/>
                <w:color w:val="000000"/>
              </w:rPr>
              <w:t>Tolerance</w:t>
            </w:r>
            <w:proofErr w:type="spellEnd"/>
          </w:p>
        </w:tc>
        <w:tc>
          <w:tcPr>
            <w:tcW w:w="1463" w:type="dxa"/>
          </w:tcPr>
          <w:p w14:paraId="4289F27A" w14:textId="1EB33AE0" w:rsidR="00CA56AE" w:rsidRPr="0068382F" w:rsidRDefault="00FF1710" w:rsidP="008475D9">
            <w:pPr>
              <w:spacing w:line="360" w:lineRule="auto"/>
              <w:rPr>
                <w:rFonts w:ascii="Times New Roman" w:hAnsi="Times New Roman" w:cs="Times New Roman"/>
                <w:color w:val="000000"/>
              </w:rPr>
            </w:pPr>
            <w:r w:rsidRPr="0068382F">
              <w:rPr>
                <w:rFonts w:ascii="Times New Roman" w:hAnsi="Times New Roman" w:cs="Times New Roman"/>
                <w:color w:val="000000"/>
              </w:rPr>
              <w:t>0.8379</w:t>
            </w:r>
          </w:p>
        </w:tc>
        <w:tc>
          <w:tcPr>
            <w:tcW w:w="1463" w:type="dxa"/>
          </w:tcPr>
          <w:p w14:paraId="4127FD66" w14:textId="696204E7" w:rsidR="00CA56AE" w:rsidRPr="0068382F" w:rsidRDefault="00FF1710" w:rsidP="008475D9">
            <w:pPr>
              <w:spacing w:line="360" w:lineRule="auto"/>
              <w:rPr>
                <w:rFonts w:ascii="Times New Roman" w:hAnsi="Times New Roman" w:cs="Times New Roman"/>
                <w:color w:val="000000"/>
              </w:rPr>
            </w:pPr>
            <w:r w:rsidRPr="0068382F">
              <w:rPr>
                <w:rFonts w:ascii="Times New Roman" w:hAnsi="Times New Roman" w:cs="Times New Roman"/>
                <w:color w:val="000000"/>
              </w:rPr>
              <w:t>0.8163</w:t>
            </w:r>
          </w:p>
        </w:tc>
        <w:tc>
          <w:tcPr>
            <w:tcW w:w="1463" w:type="dxa"/>
          </w:tcPr>
          <w:p w14:paraId="36310C0B" w14:textId="60862336" w:rsidR="00CA56AE" w:rsidRPr="0068382F" w:rsidRDefault="00FF1710" w:rsidP="008475D9">
            <w:pPr>
              <w:spacing w:line="360" w:lineRule="auto"/>
              <w:rPr>
                <w:rFonts w:ascii="Times New Roman" w:hAnsi="Times New Roman" w:cs="Times New Roman"/>
                <w:color w:val="000000"/>
              </w:rPr>
            </w:pPr>
            <w:r w:rsidRPr="0068382F">
              <w:rPr>
                <w:rFonts w:ascii="Times New Roman" w:hAnsi="Times New Roman" w:cs="Times New Roman"/>
                <w:color w:val="000000"/>
              </w:rPr>
              <w:t>0.7433</w:t>
            </w:r>
          </w:p>
        </w:tc>
        <w:tc>
          <w:tcPr>
            <w:tcW w:w="1463" w:type="dxa"/>
          </w:tcPr>
          <w:p w14:paraId="12A7E19C" w14:textId="2522BA21" w:rsidR="00CA56AE" w:rsidRPr="0068382F" w:rsidRDefault="00FF1710" w:rsidP="008475D9">
            <w:pPr>
              <w:spacing w:line="360" w:lineRule="auto"/>
              <w:rPr>
                <w:rFonts w:ascii="Times New Roman" w:hAnsi="Times New Roman" w:cs="Times New Roman"/>
                <w:color w:val="000000"/>
              </w:rPr>
            </w:pPr>
            <w:r w:rsidRPr="0068382F">
              <w:rPr>
                <w:rFonts w:ascii="Times New Roman" w:hAnsi="Times New Roman" w:cs="Times New Roman"/>
                <w:color w:val="000000"/>
              </w:rPr>
              <w:t>0.6083</w:t>
            </w:r>
          </w:p>
        </w:tc>
        <w:tc>
          <w:tcPr>
            <w:tcW w:w="1463" w:type="dxa"/>
          </w:tcPr>
          <w:p w14:paraId="4D86C875" w14:textId="7052BA7B" w:rsidR="00CA56AE" w:rsidRPr="0068382F" w:rsidRDefault="00FF1710" w:rsidP="008475D9">
            <w:pPr>
              <w:spacing w:line="360" w:lineRule="auto"/>
              <w:rPr>
                <w:rFonts w:ascii="Times New Roman" w:hAnsi="Times New Roman" w:cs="Times New Roman"/>
                <w:color w:val="000000"/>
              </w:rPr>
            </w:pPr>
            <w:r w:rsidRPr="0068382F">
              <w:rPr>
                <w:rFonts w:ascii="Times New Roman" w:hAnsi="Times New Roman" w:cs="Times New Roman"/>
                <w:color w:val="000000"/>
              </w:rPr>
              <w:t>0.7301</w:t>
            </w:r>
          </w:p>
        </w:tc>
      </w:tr>
      <w:tr w:rsidR="00CA56AE" w14:paraId="12F710B5" w14:textId="77777777" w:rsidTr="00CA56AE">
        <w:tc>
          <w:tcPr>
            <w:tcW w:w="1463" w:type="dxa"/>
          </w:tcPr>
          <w:p w14:paraId="0E89D665" w14:textId="172CB631" w:rsidR="00CA56AE" w:rsidRDefault="00FF1710" w:rsidP="008475D9">
            <w:pPr>
              <w:spacing w:line="360" w:lineRule="auto"/>
              <w:rPr>
                <w:rFonts w:ascii="Times New Roman" w:hAnsi="Times New Roman" w:cs="Times New Roman"/>
                <w:i/>
                <w:iCs/>
                <w:color w:val="000000"/>
              </w:rPr>
            </w:pPr>
            <w:r>
              <w:rPr>
                <w:rFonts w:ascii="Times New Roman" w:hAnsi="Times New Roman" w:cs="Times New Roman"/>
                <w:i/>
                <w:iCs/>
                <w:color w:val="000000"/>
              </w:rPr>
              <w:t>VIF</w:t>
            </w:r>
          </w:p>
        </w:tc>
        <w:tc>
          <w:tcPr>
            <w:tcW w:w="1463" w:type="dxa"/>
          </w:tcPr>
          <w:p w14:paraId="58F2A9D2" w14:textId="0C4B331C" w:rsidR="00CA56AE" w:rsidRPr="0068382F" w:rsidRDefault="00FF1710" w:rsidP="008475D9">
            <w:pPr>
              <w:spacing w:line="360" w:lineRule="auto"/>
              <w:rPr>
                <w:rFonts w:ascii="Times New Roman" w:hAnsi="Times New Roman" w:cs="Times New Roman"/>
                <w:color w:val="000000"/>
              </w:rPr>
            </w:pPr>
            <w:r w:rsidRPr="0068382F">
              <w:rPr>
                <w:rFonts w:ascii="Times New Roman" w:hAnsi="Times New Roman" w:cs="Times New Roman"/>
                <w:color w:val="000000"/>
              </w:rPr>
              <w:t>1.1935</w:t>
            </w:r>
          </w:p>
        </w:tc>
        <w:tc>
          <w:tcPr>
            <w:tcW w:w="1463" w:type="dxa"/>
          </w:tcPr>
          <w:p w14:paraId="7069C1EA" w14:textId="2E180A06" w:rsidR="00CA56AE" w:rsidRPr="0068382F" w:rsidRDefault="00FF1710" w:rsidP="008475D9">
            <w:pPr>
              <w:spacing w:line="360" w:lineRule="auto"/>
              <w:rPr>
                <w:rFonts w:ascii="Times New Roman" w:hAnsi="Times New Roman" w:cs="Times New Roman"/>
                <w:color w:val="000000"/>
              </w:rPr>
            </w:pPr>
            <w:r w:rsidRPr="0068382F">
              <w:rPr>
                <w:rFonts w:ascii="Times New Roman" w:hAnsi="Times New Roman" w:cs="Times New Roman"/>
                <w:color w:val="000000"/>
              </w:rPr>
              <w:t>1.2251</w:t>
            </w:r>
          </w:p>
        </w:tc>
        <w:tc>
          <w:tcPr>
            <w:tcW w:w="1463" w:type="dxa"/>
          </w:tcPr>
          <w:p w14:paraId="24412C0A" w14:textId="7C54DA6A" w:rsidR="00CA56AE" w:rsidRPr="0068382F" w:rsidRDefault="00FF1710" w:rsidP="008475D9">
            <w:pPr>
              <w:spacing w:line="360" w:lineRule="auto"/>
              <w:rPr>
                <w:rFonts w:ascii="Times New Roman" w:hAnsi="Times New Roman" w:cs="Times New Roman"/>
                <w:color w:val="000000"/>
              </w:rPr>
            </w:pPr>
            <w:r w:rsidRPr="0068382F">
              <w:rPr>
                <w:rFonts w:ascii="Times New Roman" w:hAnsi="Times New Roman" w:cs="Times New Roman"/>
                <w:color w:val="000000"/>
              </w:rPr>
              <w:t>1.3454</w:t>
            </w:r>
          </w:p>
        </w:tc>
        <w:tc>
          <w:tcPr>
            <w:tcW w:w="1463" w:type="dxa"/>
          </w:tcPr>
          <w:p w14:paraId="73434330" w14:textId="225EED9A" w:rsidR="00CA56AE" w:rsidRPr="0068382F" w:rsidRDefault="00FF1710" w:rsidP="008475D9">
            <w:pPr>
              <w:spacing w:line="360" w:lineRule="auto"/>
              <w:rPr>
                <w:rFonts w:ascii="Times New Roman" w:hAnsi="Times New Roman" w:cs="Times New Roman"/>
                <w:color w:val="000000"/>
              </w:rPr>
            </w:pPr>
            <w:r w:rsidRPr="0068382F">
              <w:rPr>
                <w:rFonts w:ascii="Times New Roman" w:hAnsi="Times New Roman" w:cs="Times New Roman"/>
                <w:color w:val="000000"/>
              </w:rPr>
              <w:t>1.6440</w:t>
            </w:r>
          </w:p>
        </w:tc>
        <w:tc>
          <w:tcPr>
            <w:tcW w:w="1463" w:type="dxa"/>
          </w:tcPr>
          <w:p w14:paraId="7675742E" w14:textId="2956803F" w:rsidR="00CA56AE" w:rsidRPr="0068382F" w:rsidRDefault="00FF1710" w:rsidP="008475D9">
            <w:pPr>
              <w:spacing w:line="360" w:lineRule="auto"/>
              <w:rPr>
                <w:rFonts w:ascii="Times New Roman" w:hAnsi="Times New Roman" w:cs="Times New Roman"/>
                <w:color w:val="000000"/>
              </w:rPr>
            </w:pPr>
            <w:r w:rsidRPr="0068382F">
              <w:rPr>
                <w:rFonts w:ascii="Times New Roman" w:hAnsi="Times New Roman" w:cs="Times New Roman"/>
                <w:color w:val="000000"/>
              </w:rPr>
              <w:t>1.3698</w:t>
            </w:r>
          </w:p>
        </w:tc>
      </w:tr>
      <w:tr w:rsidR="00FF1710" w14:paraId="32C3BFB9" w14:textId="77777777" w:rsidTr="00F86804">
        <w:tc>
          <w:tcPr>
            <w:tcW w:w="1463" w:type="dxa"/>
          </w:tcPr>
          <w:p w14:paraId="38883EC4" w14:textId="7FF0A415" w:rsidR="00FF1710" w:rsidRDefault="00FF1710" w:rsidP="008475D9">
            <w:pPr>
              <w:spacing w:line="360" w:lineRule="auto"/>
              <w:rPr>
                <w:rFonts w:ascii="Times New Roman" w:hAnsi="Times New Roman" w:cs="Times New Roman"/>
                <w:i/>
                <w:iCs/>
                <w:color w:val="000000"/>
              </w:rPr>
            </w:pPr>
            <w:r>
              <w:rPr>
                <w:rFonts w:ascii="Times New Roman" w:hAnsi="Times New Roman" w:cs="Times New Roman"/>
                <w:i/>
                <w:iCs/>
                <w:color w:val="000000"/>
              </w:rPr>
              <w:t>Var.1</w:t>
            </w:r>
          </w:p>
        </w:tc>
        <w:tc>
          <w:tcPr>
            <w:tcW w:w="7315" w:type="dxa"/>
            <w:gridSpan w:val="5"/>
          </w:tcPr>
          <w:p w14:paraId="3C5F6573" w14:textId="524D7517" w:rsidR="00FF1710" w:rsidRPr="0068382F" w:rsidRDefault="0068382F" w:rsidP="0068382F">
            <w:pPr>
              <w:spacing w:after="0" w:line="360" w:lineRule="auto"/>
              <w:rPr>
                <w:rFonts w:ascii="Times New Roman" w:hAnsi="Times New Roman" w:cs="Times New Roman"/>
              </w:rPr>
            </w:pPr>
            <w:r w:rsidRPr="0068382F">
              <w:rPr>
                <w:rFonts w:ascii="Times New Roman" w:hAnsi="Times New Roman" w:cs="Times New Roman"/>
              </w:rPr>
              <w:t xml:space="preserve">PPP capital </w:t>
            </w:r>
            <w:proofErr w:type="spellStart"/>
            <w:r w:rsidRPr="0068382F">
              <w:rPr>
                <w:rFonts w:ascii="Times New Roman" w:hAnsi="Times New Roman" w:cs="Times New Roman"/>
              </w:rPr>
              <w:t>value</w:t>
            </w:r>
            <w:proofErr w:type="spellEnd"/>
            <w:r w:rsidRPr="0068382F">
              <w:rPr>
                <w:rFonts w:ascii="Times New Roman" w:hAnsi="Times New Roman" w:cs="Times New Roman"/>
              </w:rPr>
              <w:t xml:space="preserve">, </w:t>
            </w:r>
            <w:proofErr w:type="spellStart"/>
            <w:r>
              <w:rPr>
                <w:rFonts w:ascii="Times New Roman" w:hAnsi="Times New Roman" w:cs="Times New Roman"/>
              </w:rPr>
              <w:t>average</w:t>
            </w:r>
            <w:proofErr w:type="spellEnd"/>
            <w:r w:rsidRPr="0068382F">
              <w:rPr>
                <w:rFonts w:ascii="Times New Roman" w:hAnsi="Times New Roman" w:cs="Times New Roman"/>
              </w:rPr>
              <w:t xml:space="preserve"> for </w:t>
            </w:r>
            <w:proofErr w:type="spellStart"/>
            <w:r w:rsidRPr="0068382F">
              <w:rPr>
                <w:rFonts w:ascii="Times New Roman" w:hAnsi="Times New Roman" w:cs="Times New Roman"/>
              </w:rPr>
              <w:t>the</w:t>
            </w:r>
            <w:proofErr w:type="spellEnd"/>
            <w:r w:rsidRPr="0068382F">
              <w:rPr>
                <w:rFonts w:ascii="Times New Roman" w:hAnsi="Times New Roman" w:cs="Times New Roman"/>
              </w:rPr>
              <w:t xml:space="preserve"> period 2012–2024</w:t>
            </w:r>
          </w:p>
        </w:tc>
      </w:tr>
      <w:tr w:rsidR="0068382F" w14:paraId="5391B900" w14:textId="77777777" w:rsidTr="00F86804">
        <w:tc>
          <w:tcPr>
            <w:tcW w:w="1463" w:type="dxa"/>
          </w:tcPr>
          <w:p w14:paraId="22901725" w14:textId="2529F6B1" w:rsidR="0068382F" w:rsidRDefault="0068382F" w:rsidP="008475D9">
            <w:pPr>
              <w:spacing w:line="360" w:lineRule="auto"/>
              <w:rPr>
                <w:rFonts w:ascii="Times New Roman" w:hAnsi="Times New Roman" w:cs="Times New Roman"/>
                <w:i/>
                <w:iCs/>
                <w:color w:val="000000"/>
              </w:rPr>
            </w:pPr>
            <w:r>
              <w:rPr>
                <w:rFonts w:ascii="Times New Roman" w:hAnsi="Times New Roman" w:cs="Times New Roman"/>
                <w:i/>
                <w:iCs/>
                <w:color w:val="000000"/>
              </w:rPr>
              <w:t>Var.2</w:t>
            </w:r>
          </w:p>
        </w:tc>
        <w:tc>
          <w:tcPr>
            <w:tcW w:w="7315" w:type="dxa"/>
            <w:gridSpan w:val="5"/>
          </w:tcPr>
          <w:p w14:paraId="0CD49CD8" w14:textId="78C31FE6" w:rsidR="0068382F" w:rsidRPr="0068382F" w:rsidRDefault="0068382F" w:rsidP="0068382F">
            <w:pPr>
              <w:spacing w:after="0" w:line="360" w:lineRule="auto"/>
              <w:rPr>
                <w:rFonts w:ascii="Times New Roman" w:hAnsi="Times New Roman" w:cs="Times New Roman"/>
              </w:rPr>
            </w:pPr>
            <w:r w:rsidRPr="0068382F">
              <w:rPr>
                <w:rFonts w:ascii="Times New Roman" w:hAnsi="Times New Roman" w:cs="Times New Roman"/>
              </w:rPr>
              <w:t xml:space="preserve">Real GDP per </w:t>
            </w:r>
            <w:proofErr w:type="spellStart"/>
            <w:r w:rsidRPr="0068382F">
              <w:rPr>
                <w:rFonts w:ascii="Times New Roman" w:hAnsi="Times New Roman" w:cs="Times New Roman"/>
              </w:rPr>
              <w:t>capita</w:t>
            </w:r>
            <w:proofErr w:type="spellEnd"/>
            <w:r w:rsidRPr="0068382F">
              <w:rPr>
                <w:rFonts w:ascii="Times New Roman" w:hAnsi="Times New Roman" w:cs="Times New Roman"/>
              </w:rPr>
              <w:t xml:space="preserve"> </w:t>
            </w:r>
            <w:proofErr w:type="spellStart"/>
            <w:r w:rsidRPr="0068382F">
              <w:rPr>
                <w:rFonts w:ascii="Times New Roman" w:hAnsi="Times New Roman" w:cs="Times New Roman"/>
              </w:rPr>
              <w:t>growth</w:t>
            </w:r>
            <w:proofErr w:type="spellEnd"/>
            <w:r w:rsidRPr="0068382F">
              <w:rPr>
                <w:rFonts w:ascii="Times New Roman" w:hAnsi="Times New Roman" w:cs="Times New Roman"/>
              </w:rPr>
              <w:t xml:space="preserve"> – </w:t>
            </w:r>
            <w:proofErr w:type="spellStart"/>
            <w:r w:rsidRPr="0068382F">
              <w:rPr>
                <w:rFonts w:ascii="Times New Roman" w:hAnsi="Times New Roman" w:cs="Times New Roman"/>
              </w:rPr>
              <w:t>average</w:t>
            </w:r>
            <w:proofErr w:type="spellEnd"/>
            <w:r w:rsidRPr="0068382F">
              <w:rPr>
                <w:rFonts w:ascii="Times New Roman" w:hAnsi="Times New Roman" w:cs="Times New Roman"/>
              </w:rPr>
              <w:t xml:space="preserve"> for </w:t>
            </w:r>
            <w:proofErr w:type="spellStart"/>
            <w:r w:rsidRPr="0068382F">
              <w:rPr>
                <w:rFonts w:ascii="Times New Roman" w:hAnsi="Times New Roman" w:cs="Times New Roman"/>
              </w:rPr>
              <w:t>the</w:t>
            </w:r>
            <w:proofErr w:type="spellEnd"/>
            <w:r w:rsidRPr="0068382F">
              <w:rPr>
                <w:rFonts w:ascii="Times New Roman" w:hAnsi="Times New Roman" w:cs="Times New Roman"/>
              </w:rPr>
              <w:t xml:space="preserve"> period 2013–2024</w:t>
            </w:r>
          </w:p>
        </w:tc>
      </w:tr>
      <w:tr w:rsidR="0068382F" w14:paraId="24E54638" w14:textId="77777777" w:rsidTr="00F86804">
        <w:tc>
          <w:tcPr>
            <w:tcW w:w="1463" w:type="dxa"/>
          </w:tcPr>
          <w:p w14:paraId="613453F1" w14:textId="50FE561E" w:rsidR="0068382F" w:rsidRDefault="0068382F" w:rsidP="008475D9">
            <w:pPr>
              <w:spacing w:line="360" w:lineRule="auto"/>
              <w:rPr>
                <w:rFonts w:ascii="Times New Roman" w:hAnsi="Times New Roman" w:cs="Times New Roman"/>
                <w:i/>
                <w:iCs/>
                <w:color w:val="000000"/>
              </w:rPr>
            </w:pPr>
            <w:r>
              <w:rPr>
                <w:rFonts w:ascii="Times New Roman" w:hAnsi="Times New Roman" w:cs="Times New Roman"/>
                <w:i/>
                <w:iCs/>
                <w:color w:val="000000"/>
              </w:rPr>
              <w:t>Var.3</w:t>
            </w:r>
          </w:p>
        </w:tc>
        <w:tc>
          <w:tcPr>
            <w:tcW w:w="7315" w:type="dxa"/>
            <w:gridSpan w:val="5"/>
          </w:tcPr>
          <w:p w14:paraId="2F8538EA" w14:textId="44C44016" w:rsidR="0068382F" w:rsidRPr="0068382F" w:rsidRDefault="0068382F" w:rsidP="0068382F">
            <w:pPr>
              <w:spacing w:after="0" w:line="360" w:lineRule="auto"/>
              <w:rPr>
                <w:rFonts w:ascii="Times New Roman" w:hAnsi="Times New Roman" w:cs="Times New Roman"/>
              </w:rPr>
            </w:pPr>
            <w:proofErr w:type="spellStart"/>
            <w:r w:rsidRPr="0068382F">
              <w:rPr>
                <w:rFonts w:ascii="Times New Roman" w:hAnsi="Times New Roman" w:cs="Times New Roman"/>
              </w:rPr>
              <w:t>Unemployment</w:t>
            </w:r>
            <w:proofErr w:type="spellEnd"/>
            <w:r w:rsidRPr="0068382F">
              <w:rPr>
                <w:rFonts w:ascii="Times New Roman" w:hAnsi="Times New Roman" w:cs="Times New Roman"/>
              </w:rPr>
              <w:t xml:space="preserve"> rate – </w:t>
            </w:r>
            <w:proofErr w:type="spellStart"/>
            <w:r w:rsidRPr="0068382F">
              <w:rPr>
                <w:rFonts w:ascii="Times New Roman" w:hAnsi="Times New Roman" w:cs="Times New Roman"/>
              </w:rPr>
              <w:t>average</w:t>
            </w:r>
            <w:proofErr w:type="spellEnd"/>
            <w:r w:rsidRPr="0068382F">
              <w:rPr>
                <w:rFonts w:ascii="Times New Roman" w:hAnsi="Times New Roman" w:cs="Times New Roman"/>
              </w:rPr>
              <w:t xml:space="preserve"> for </w:t>
            </w:r>
            <w:proofErr w:type="spellStart"/>
            <w:r w:rsidRPr="0068382F">
              <w:rPr>
                <w:rFonts w:ascii="Times New Roman" w:hAnsi="Times New Roman" w:cs="Times New Roman"/>
              </w:rPr>
              <w:t>the</w:t>
            </w:r>
            <w:proofErr w:type="spellEnd"/>
            <w:r w:rsidRPr="0068382F">
              <w:rPr>
                <w:rFonts w:ascii="Times New Roman" w:hAnsi="Times New Roman" w:cs="Times New Roman"/>
              </w:rPr>
              <w:t xml:space="preserve"> period 2013–2024</w:t>
            </w:r>
          </w:p>
        </w:tc>
      </w:tr>
      <w:tr w:rsidR="0068382F" w14:paraId="18B670FF" w14:textId="77777777" w:rsidTr="00F86804">
        <w:tc>
          <w:tcPr>
            <w:tcW w:w="1463" w:type="dxa"/>
          </w:tcPr>
          <w:p w14:paraId="187EBF2B" w14:textId="0AD498D2" w:rsidR="0068382F" w:rsidRDefault="0068382F" w:rsidP="008475D9">
            <w:pPr>
              <w:spacing w:line="360" w:lineRule="auto"/>
              <w:rPr>
                <w:rFonts w:ascii="Times New Roman" w:hAnsi="Times New Roman" w:cs="Times New Roman"/>
                <w:i/>
                <w:iCs/>
                <w:color w:val="000000"/>
              </w:rPr>
            </w:pPr>
            <w:r>
              <w:rPr>
                <w:rFonts w:ascii="Times New Roman" w:hAnsi="Times New Roman" w:cs="Times New Roman"/>
                <w:i/>
                <w:iCs/>
                <w:color w:val="000000"/>
              </w:rPr>
              <w:t>Var.4</w:t>
            </w:r>
          </w:p>
        </w:tc>
        <w:tc>
          <w:tcPr>
            <w:tcW w:w="7315" w:type="dxa"/>
            <w:gridSpan w:val="5"/>
          </w:tcPr>
          <w:p w14:paraId="51788C97" w14:textId="4E936BCD" w:rsidR="0068382F" w:rsidRPr="0068382F" w:rsidRDefault="0068382F" w:rsidP="0068382F">
            <w:pPr>
              <w:spacing w:after="0" w:line="360" w:lineRule="auto"/>
              <w:rPr>
                <w:rFonts w:ascii="Times New Roman" w:hAnsi="Times New Roman" w:cs="Times New Roman"/>
              </w:rPr>
            </w:pPr>
            <w:proofErr w:type="spellStart"/>
            <w:r w:rsidRPr="0068382F">
              <w:rPr>
                <w:rFonts w:ascii="Times New Roman" w:hAnsi="Times New Roman" w:cs="Times New Roman"/>
              </w:rPr>
              <w:t>Share</w:t>
            </w:r>
            <w:proofErr w:type="spellEnd"/>
            <w:r w:rsidRPr="0068382F">
              <w:rPr>
                <w:rFonts w:ascii="Times New Roman" w:hAnsi="Times New Roman" w:cs="Times New Roman"/>
              </w:rPr>
              <w:t xml:space="preserve"> of </w:t>
            </w:r>
            <w:proofErr w:type="spellStart"/>
            <w:r w:rsidRPr="0068382F">
              <w:rPr>
                <w:rFonts w:ascii="Times New Roman" w:hAnsi="Times New Roman" w:cs="Times New Roman"/>
              </w:rPr>
              <w:t>investment</w:t>
            </w:r>
            <w:proofErr w:type="spellEnd"/>
            <w:r w:rsidRPr="0068382F">
              <w:rPr>
                <w:rFonts w:ascii="Times New Roman" w:hAnsi="Times New Roman" w:cs="Times New Roman"/>
              </w:rPr>
              <w:t xml:space="preserve"> – </w:t>
            </w:r>
            <w:proofErr w:type="spellStart"/>
            <w:r w:rsidRPr="0068382F">
              <w:rPr>
                <w:rFonts w:ascii="Times New Roman" w:hAnsi="Times New Roman" w:cs="Times New Roman"/>
              </w:rPr>
              <w:t>average</w:t>
            </w:r>
            <w:proofErr w:type="spellEnd"/>
            <w:r w:rsidRPr="0068382F">
              <w:rPr>
                <w:rFonts w:ascii="Times New Roman" w:hAnsi="Times New Roman" w:cs="Times New Roman"/>
              </w:rPr>
              <w:t xml:space="preserve"> for </w:t>
            </w:r>
            <w:proofErr w:type="spellStart"/>
            <w:r w:rsidRPr="0068382F">
              <w:rPr>
                <w:rFonts w:ascii="Times New Roman" w:hAnsi="Times New Roman" w:cs="Times New Roman"/>
              </w:rPr>
              <w:t>the</w:t>
            </w:r>
            <w:proofErr w:type="spellEnd"/>
            <w:r w:rsidRPr="0068382F">
              <w:rPr>
                <w:rFonts w:ascii="Times New Roman" w:hAnsi="Times New Roman" w:cs="Times New Roman"/>
              </w:rPr>
              <w:t xml:space="preserve"> period 2013–2024</w:t>
            </w:r>
          </w:p>
        </w:tc>
      </w:tr>
      <w:tr w:rsidR="0068382F" w14:paraId="0906ABF5" w14:textId="77777777" w:rsidTr="00F86804">
        <w:tc>
          <w:tcPr>
            <w:tcW w:w="1463" w:type="dxa"/>
          </w:tcPr>
          <w:p w14:paraId="17CFF440" w14:textId="0A490B79" w:rsidR="0068382F" w:rsidRDefault="0068382F" w:rsidP="008475D9">
            <w:pPr>
              <w:spacing w:line="360" w:lineRule="auto"/>
              <w:rPr>
                <w:rFonts w:ascii="Times New Roman" w:hAnsi="Times New Roman" w:cs="Times New Roman"/>
                <w:i/>
                <w:iCs/>
                <w:color w:val="000000"/>
              </w:rPr>
            </w:pPr>
            <w:r>
              <w:rPr>
                <w:rFonts w:ascii="Times New Roman" w:hAnsi="Times New Roman" w:cs="Times New Roman"/>
                <w:i/>
                <w:iCs/>
                <w:color w:val="000000"/>
              </w:rPr>
              <w:t>Var.5</w:t>
            </w:r>
          </w:p>
        </w:tc>
        <w:tc>
          <w:tcPr>
            <w:tcW w:w="7315" w:type="dxa"/>
            <w:gridSpan w:val="5"/>
          </w:tcPr>
          <w:p w14:paraId="1FD9FE8A" w14:textId="00BB4415" w:rsidR="0068382F" w:rsidRPr="0068382F" w:rsidRDefault="0068382F" w:rsidP="0068382F">
            <w:pPr>
              <w:spacing w:after="0" w:line="360" w:lineRule="auto"/>
              <w:rPr>
                <w:rFonts w:ascii="Times New Roman" w:hAnsi="Times New Roman" w:cs="Times New Roman"/>
              </w:rPr>
            </w:pPr>
            <w:r w:rsidRPr="0068382F">
              <w:rPr>
                <w:rFonts w:ascii="Times New Roman" w:hAnsi="Times New Roman" w:cs="Times New Roman"/>
              </w:rPr>
              <w:t>Quality-</w:t>
            </w:r>
            <w:proofErr w:type="spellStart"/>
            <w:r w:rsidRPr="0068382F">
              <w:rPr>
                <w:rFonts w:ascii="Times New Roman" w:hAnsi="Times New Roman" w:cs="Times New Roman"/>
              </w:rPr>
              <w:t>Adjusted</w:t>
            </w:r>
            <w:proofErr w:type="spellEnd"/>
            <w:r w:rsidRPr="0068382F">
              <w:rPr>
                <w:rFonts w:ascii="Times New Roman" w:hAnsi="Times New Roman" w:cs="Times New Roman"/>
              </w:rPr>
              <w:t xml:space="preserve"> </w:t>
            </w:r>
            <w:proofErr w:type="spellStart"/>
            <w:r w:rsidRPr="0068382F">
              <w:rPr>
                <w:rFonts w:ascii="Times New Roman" w:hAnsi="Times New Roman" w:cs="Times New Roman"/>
              </w:rPr>
              <w:t>Labour</w:t>
            </w:r>
            <w:proofErr w:type="spellEnd"/>
            <w:r w:rsidRPr="0068382F">
              <w:rPr>
                <w:rFonts w:ascii="Times New Roman" w:hAnsi="Times New Roman" w:cs="Times New Roman"/>
              </w:rPr>
              <w:t xml:space="preserve"> Input (QALI) index – </w:t>
            </w:r>
            <w:proofErr w:type="spellStart"/>
            <w:r w:rsidRPr="0068382F">
              <w:rPr>
                <w:rFonts w:ascii="Times New Roman" w:hAnsi="Times New Roman" w:cs="Times New Roman"/>
              </w:rPr>
              <w:t>average</w:t>
            </w:r>
            <w:proofErr w:type="spellEnd"/>
            <w:r w:rsidRPr="0068382F">
              <w:rPr>
                <w:rFonts w:ascii="Times New Roman" w:hAnsi="Times New Roman" w:cs="Times New Roman"/>
              </w:rPr>
              <w:t xml:space="preserve"> for </w:t>
            </w:r>
            <w:proofErr w:type="spellStart"/>
            <w:r w:rsidRPr="0068382F">
              <w:rPr>
                <w:rFonts w:ascii="Times New Roman" w:hAnsi="Times New Roman" w:cs="Times New Roman"/>
              </w:rPr>
              <w:t>the</w:t>
            </w:r>
            <w:proofErr w:type="spellEnd"/>
            <w:r w:rsidRPr="0068382F">
              <w:rPr>
                <w:rFonts w:ascii="Times New Roman" w:hAnsi="Times New Roman" w:cs="Times New Roman"/>
              </w:rPr>
              <w:t xml:space="preserve"> period 2013–2024</w:t>
            </w:r>
          </w:p>
        </w:tc>
      </w:tr>
    </w:tbl>
    <w:p w14:paraId="36E6A9BE" w14:textId="42391AEA" w:rsidR="00D5329D" w:rsidRDefault="004A2E86" w:rsidP="008475D9">
      <w:pPr>
        <w:spacing w:line="360" w:lineRule="auto"/>
        <w:rPr>
          <w:rFonts w:ascii="Times New Roman" w:hAnsi="Times New Roman" w:cs="Times New Roman"/>
          <w:i/>
          <w:iCs/>
          <w:sz w:val="21"/>
          <w:szCs w:val="21"/>
          <w:lang w:val="en-US"/>
        </w:rPr>
      </w:pPr>
      <w:proofErr w:type="spellStart"/>
      <w:r w:rsidRPr="00BB2B60">
        <w:rPr>
          <w:rFonts w:ascii="Times New Roman" w:hAnsi="Times New Roman" w:cs="Times New Roman"/>
          <w:i/>
          <w:iCs/>
          <w:sz w:val="21"/>
          <w:szCs w:val="21"/>
        </w:rPr>
        <w:t>Source</w:t>
      </w:r>
      <w:proofErr w:type="spellEnd"/>
      <w:r w:rsidRPr="00BB2B60">
        <w:rPr>
          <w:rFonts w:ascii="Times New Roman" w:hAnsi="Times New Roman" w:cs="Times New Roman"/>
          <w:i/>
          <w:iCs/>
          <w:sz w:val="21"/>
          <w:szCs w:val="21"/>
        </w:rPr>
        <w:t xml:space="preserve">: </w:t>
      </w:r>
      <w:proofErr w:type="spellStart"/>
      <w:r w:rsidRPr="00BB2B60">
        <w:rPr>
          <w:rFonts w:ascii="Times New Roman" w:hAnsi="Times New Roman" w:cs="Times New Roman"/>
          <w:i/>
          <w:iCs/>
          <w:sz w:val="21"/>
          <w:szCs w:val="21"/>
        </w:rPr>
        <w:t>Authors</w:t>
      </w:r>
      <w:proofErr w:type="spellEnd"/>
      <w:r w:rsidRPr="00BB2B60">
        <w:rPr>
          <w:rFonts w:ascii="Times New Roman" w:hAnsi="Times New Roman" w:cs="Times New Roman"/>
          <w:i/>
          <w:iCs/>
          <w:sz w:val="21"/>
          <w:szCs w:val="21"/>
          <w:lang w:val="en-US"/>
        </w:rPr>
        <w:t>’ contribution</w:t>
      </w:r>
      <w:r>
        <w:rPr>
          <w:rFonts w:ascii="Times New Roman" w:hAnsi="Times New Roman" w:cs="Times New Roman"/>
          <w:i/>
          <w:iCs/>
          <w:sz w:val="21"/>
          <w:szCs w:val="21"/>
          <w:lang w:val="en-US"/>
        </w:rPr>
        <w:t>, SPSS processing</w:t>
      </w:r>
    </w:p>
    <w:p w14:paraId="23CA6A1C" w14:textId="77777777" w:rsidR="00944F7E" w:rsidRDefault="00944F7E" w:rsidP="008475D9">
      <w:pPr>
        <w:spacing w:line="360" w:lineRule="auto"/>
        <w:rPr>
          <w:rFonts w:ascii="Times New Roman" w:hAnsi="Times New Roman" w:cs="Times New Roman"/>
          <w:i/>
          <w:iCs/>
          <w:sz w:val="21"/>
          <w:szCs w:val="21"/>
          <w:lang w:val="en-US"/>
        </w:rPr>
      </w:pPr>
    </w:p>
    <w:p w14:paraId="4C7270D5" w14:textId="22B33460" w:rsidR="0068382F" w:rsidRDefault="0068382F" w:rsidP="008475D9">
      <w:pPr>
        <w:spacing w:line="360" w:lineRule="auto"/>
        <w:rPr>
          <w:rFonts w:ascii="Times New Roman" w:hAnsi="Times New Roman" w:cs="Times New Roman"/>
          <w:i/>
          <w:iCs/>
          <w:sz w:val="21"/>
          <w:szCs w:val="21"/>
          <w:lang w:val="en-US"/>
        </w:rPr>
      </w:pPr>
      <w:r>
        <w:rPr>
          <w:rFonts w:ascii="Times New Roman" w:hAnsi="Times New Roman" w:cs="Times New Roman"/>
          <w:i/>
          <w:iCs/>
          <w:sz w:val="21"/>
          <w:szCs w:val="21"/>
          <w:lang w:val="en-US"/>
        </w:rPr>
        <w:lastRenderedPageBreak/>
        <w:t>Table no. 3 Descriptive statistics</w:t>
      </w:r>
      <w:r w:rsidR="000E4C0A">
        <w:rPr>
          <w:rFonts w:ascii="Times New Roman" w:hAnsi="Times New Roman" w:cs="Times New Roman"/>
          <w:i/>
          <w:iCs/>
          <w:sz w:val="21"/>
          <w:szCs w:val="21"/>
          <w:lang w:val="en-US"/>
        </w:rPr>
        <w:t xml:space="preserve"> (quantitative data)</w:t>
      </w:r>
    </w:p>
    <w:tbl>
      <w:tblPr>
        <w:tblStyle w:val="TableGrid"/>
        <w:tblW w:w="0" w:type="auto"/>
        <w:tblLayout w:type="fixed"/>
        <w:tblLook w:val="04A0" w:firstRow="1" w:lastRow="0" w:firstColumn="1" w:lastColumn="0" w:noHBand="0" w:noVBand="1"/>
      </w:tblPr>
      <w:tblGrid>
        <w:gridCol w:w="2689"/>
        <w:gridCol w:w="850"/>
        <w:gridCol w:w="851"/>
        <w:gridCol w:w="850"/>
        <w:gridCol w:w="851"/>
        <w:gridCol w:w="850"/>
        <w:gridCol w:w="709"/>
        <w:gridCol w:w="1128"/>
      </w:tblGrid>
      <w:tr w:rsidR="000E4C0A" w:rsidRPr="000E4C0A" w14:paraId="5DBBCD7B" w14:textId="6285FB51" w:rsidTr="0005329B">
        <w:tc>
          <w:tcPr>
            <w:tcW w:w="2689" w:type="dxa"/>
          </w:tcPr>
          <w:p w14:paraId="6C56EC80" w14:textId="160D45C2"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Variables</w:t>
            </w:r>
          </w:p>
        </w:tc>
        <w:tc>
          <w:tcPr>
            <w:tcW w:w="850" w:type="dxa"/>
          </w:tcPr>
          <w:p w14:paraId="0EC0D08C" w14:textId="13BF24ED"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Var. 1</w:t>
            </w:r>
          </w:p>
        </w:tc>
        <w:tc>
          <w:tcPr>
            <w:tcW w:w="851" w:type="dxa"/>
          </w:tcPr>
          <w:p w14:paraId="31292F12" w14:textId="09140520"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Var. 2</w:t>
            </w:r>
          </w:p>
        </w:tc>
        <w:tc>
          <w:tcPr>
            <w:tcW w:w="850" w:type="dxa"/>
          </w:tcPr>
          <w:p w14:paraId="1DECD061" w14:textId="7DE81B46"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Var. 3</w:t>
            </w:r>
          </w:p>
        </w:tc>
        <w:tc>
          <w:tcPr>
            <w:tcW w:w="851" w:type="dxa"/>
          </w:tcPr>
          <w:p w14:paraId="7FEDEC19" w14:textId="446CB6C1"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Var. 4</w:t>
            </w:r>
          </w:p>
        </w:tc>
        <w:tc>
          <w:tcPr>
            <w:tcW w:w="850" w:type="dxa"/>
          </w:tcPr>
          <w:p w14:paraId="6F15F7B3" w14:textId="345B4CE9"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Var.5</w:t>
            </w:r>
          </w:p>
        </w:tc>
        <w:tc>
          <w:tcPr>
            <w:tcW w:w="709" w:type="dxa"/>
          </w:tcPr>
          <w:p w14:paraId="334B119E" w14:textId="7D073544"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Var.6</w:t>
            </w:r>
          </w:p>
        </w:tc>
        <w:tc>
          <w:tcPr>
            <w:tcW w:w="1128" w:type="dxa"/>
          </w:tcPr>
          <w:p w14:paraId="49074C55" w14:textId="5B1AEEE1"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Standard deviation</w:t>
            </w:r>
          </w:p>
        </w:tc>
      </w:tr>
      <w:tr w:rsidR="00280A98" w:rsidRPr="00280A98" w14:paraId="4BB046B7" w14:textId="22B1BBEB" w:rsidTr="0005329B">
        <w:tc>
          <w:tcPr>
            <w:tcW w:w="2689" w:type="dxa"/>
          </w:tcPr>
          <w:p w14:paraId="08C6BF94" w14:textId="091B58F8" w:rsidR="000E4C0A" w:rsidRPr="00944F7E" w:rsidRDefault="000E4C0A" w:rsidP="0005329B">
            <w:pPr>
              <w:spacing w:after="0" w:line="360" w:lineRule="auto"/>
              <w:rPr>
                <w:rFonts w:ascii="Times New Roman" w:hAnsi="Times New Roman" w:cs="Times New Roman"/>
                <w:i/>
                <w:iCs/>
                <w:color w:val="000000" w:themeColor="text1"/>
                <w:lang w:val="en-US"/>
              </w:rPr>
            </w:pPr>
            <w:r w:rsidRPr="00944F7E">
              <w:rPr>
                <w:rFonts w:ascii="Times New Roman" w:hAnsi="Times New Roman" w:cs="Times New Roman"/>
                <w:color w:val="000000" w:themeColor="text1"/>
              </w:rPr>
              <w:t xml:space="preserve">PPP capital </w:t>
            </w:r>
            <w:proofErr w:type="spellStart"/>
            <w:r w:rsidRPr="00944F7E">
              <w:rPr>
                <w:rFonts w:ascii="Times New Roman" w:hAnsi="Times New Roman" w:cs="Times New Roman"/>
                <w:color w:val="000000" w:themeColor="text1"/>
              </w:rPr>
              <w:t>value</w:t>
            </w:r>
            <w:proofErr w:type="spellEnd"/>
            <w:r w:rsidRPr="00944F7E">
              <w:rPr>
                <w:rFonts w:ascii="Times New Roman" w:hAnsi="Times New Roman" w:cs="Times New Roman"/>
                <w:color w:val="000000" w:themeColor="text1"/>
              </w:rPr>
              <w:t xml:space="preserve">, </w:t>
            </w:r>
            <w:proofErr w:type="spellStart"/>
            <w:r w:rsidRPr="00944F7E">
              <w:rPr>
                <w:rFonts w:ascii="Times New Roman" w:hAnsi="Times New Roman" w:cs="Times New Roman"/>
                <w:color w:val="000000" w:themeColor="text1"/>
              </w:rPr>
              <w:t>average</w:t>
            </w:r>
            <w:proofErr w:type="spellEnd"/>
            <w:r w:rsidRPr="00944F7E">
              <w:rPr>
                <w:rFonts w:ascii="Times New Roman" w:hAnsi="Times New Roman" w:cs="Times New Roman"/>
                <w:color w:val="000000" w:themeColor="text1"/>
              </w:rPr>
              <w:t xml:space="preserve"> for </w:t>
            </w:r>
            <w:proofErr w:type="spellStart"/>
            <w:r w:rsidRPr="00944F7E">
              <w:rPr>
                <w:rFonts w:ascii="Times New Roman" w:hAnsi="Times New Roman" w:cs="Times New Roman"/>
                <w:color w:val="000000" w:themeColor="text1"/>
              </w:rPr>
              <w:t>the</w:t>
            </w:r>
            <w:proofErr w:type="spellEnd"/>
            <w:r w:rsidRPr="00944F7E">
              <w:rPr>
                <w:rFonts w:ascii="Times New Roman" w:hAnsi="Times New Roman" w:cs="Times New Roman"/>
                <w:color w:val="000000" w:themeColor="text1"/>
              </w:rPr>
              <w:t xml:space="preserve"> period 2012–2024</w:t>
            </w:r>
          </w:p>
        </w:tc>
        <w:tc>
          <w:tcPr>
            <w:tcW w:w="850" w:type="dxa"/>
          </w:tcPr>
          <w:p w14:paraId="19784DF0" w14:textId="54FBF5F3" w:rsidR="000E4C0A" w:rsidRPr="00944F7E" w:rsidRDefault="000E4C0A" w:rsidP="0005329B">
            <w:pPr>
              <w:spacing w:after="0" w:line="360" w:lineRule="auto"/>
              <w:rPr>
                <w:rFonts w:ascii="Times New Roman" w:hAnsi="Times New Roman" w:cs="Times New Roman"/>
                <w:i/>
                <w:iCs/>
                <w:color w:val="000000" w:themeColor="text1"/>
                <w:lang w:val="en-US"/>
              </w:rPr>
            </w:pPr>
            <w:r w:rsidRPr="00944F7E">
              <w:rPr>
                <w:rFonts w:ascii="Times New Roman" w:hAnsi="Times New Roman" w:cs="Times New Roman"/>
                <w:i/>
                <w:iCs/>
                <w:color w:val="000000" w:themeColor="text1"/>
                <w:lang w:val="en-US"/>
              </w:rPr>
              <w:t>28</w:t>
            </w:r>
          </w:p>
        </w:tc>
        <w:tc>
          <w:tcPr>
            <w:tcW w:w="851" w:type="dxa"/>
          </w:tcPr>
          <w:p w14:paraId="71DAFB3F" w14:textId="4BA094B7" w:rsidR="000E4C0A" w:rsidRPr="00944F7E" w:rsidRDefault="000E4C0A" w:rsidP="0005329B">
            <w:pPr>
              <w:spacing w:after="0" w:line="360" w:lineRule="auto"/>
              <w:rPr>
                <w:rFonts w:ascii="Times New Roman" w:hAnsi="Times New Roman" w:cs="Times New Roman"/>
                <w:i/>
                <w:iCs/>
                <w:color w:val="000000" w:themeColor="text1"/>
                <w:lang w:val="en-US"/>
              </w:rPr>
            </w:pPr>
            <w:r w:rsidRPr="00944F7E">
              <w:rPr>
                <w:rFonts w:ascii="Times New Roman" w:hAnsi="Times New Roman" w:cs="Times New Roman"/>
                <w:i/>
                <w:iCs/>
                <w:color w:val="000000" w:themeColor="text1"/>
                <w:lang w:val="en-US"/>
              </w:rPr>
              <w:t>0</w:t>
            </w:r>
          </w:p>
        </w:tc>
        <w:tc>
          <w:tcPr>
            <w:tcW w:w="850" w:type="dxa"/>
          </w:tcPr>
          <w:p w14:paraId="19C7C6B5" w14:textId="11965C2C" w:rsidR="000E4C0A" w:rsidRPr="00944F7E" w:rsidRDefault="000E4C0A" w:rsidP="0005329B">
            <w:pPr>
              <w:spacing w:after="0" w:line="360" w:lineRule="auto"/>
              <w:rPr>
                <w:rFonts w:ascii="Times New Roman" w:hAnsi="Times New Roman" w:cs="Times New Roman"/>
                <w:i/>
                <w:iCs/>
                <w:color w:val="000000" w:themeColor="text1"/>
                <w:lang w:val="en-US"/>
              </w:rPr>
            </w:pPr>
            <w:r w:rsidRPr="00944F7E">
              <w:rPr>
                <w:rFonts w:ascii="Times New Roman" w:hAnsi="Times New Roman" w:cs="Times New Roman"/>
                <w:i/>
                <w:iCs/>
                <w:color w:val="000000" w:themeColor="text1"/>
                <w:lang w:val="en-US"/>
              </w:rPr>
              <w:t>28</w:t>
            </w:r>
          </w:p>
        </w:tc>
        <w:tc>
          <w:tcPr>
            <w:tcW w:w="851" w:type="dxa"/>
          </w:tcPr>
          <w:p w14:paraId="3735AE11" w14:textId="01A7DE3C" w:rsidR="000E4C0A" w:rsidRPr="00944F7E" w:rsidRDefault="000E4C0A" w:rsidP="0005329B">
            <w:pPr>
              <w:spacing w:after="0" w:line="360" w:lineRule="auto"/>
              <w:rPr>
                <w:rFonts w:ascii="Times New Roman" w:hAnsi="Times New Roman" w:cs="Times New Roman"/>
                <w:i/>
                <w:iCs/>
                <w:color w:val="000000" w:themeColor="text1"/>
                <w:lang w:val="en-US"/>
              </w:rPr>
            </w:pPr>
            <w:r w:rsidRPr="00944F7E">
              <w:rPr>
                <w:rFonts w:ascii="Times New Roman" w:hAnsi="Times New Roman" w:cs="Times New Roman"/>
                <w:i/>
                <w:iCs/>
                <w:color w:val="000000" w:themeColor="text1"/>
                <w:lang w:val="en-US"/>
              </w:rPr>
              <w:t>0</w:t>
            </w:r>
            <w:r w:rsidR="007A1F6F" w:rsidRPr="00944F7E">
              <w:rPr>
                <w:rFonts w:ascii="Times New Roman" w:hAnsi="Times New Roman" w:cs="Times New Roman"/>
                <w:i/>
                <w:iCs/>
                <w:color w:val="000000" w:themeColor="text1"/>
                <w:lang w:val="en-US"/>
              </w:rPr>
              <w:t>.</w:t>
            </w:r>
            <w:r w:rsidRPr="00944F7E">
              <w:rPr>
                <w:rFonts w:ascii="Times New Roman" w:hAnsi="Times New Roman" w:cs="Times New Roman"/>
                <w:i/>
                <w:iCs/>
                <w:color w:val="000000" w:themeColor="text1"/>
                <w:lang w:val="en-US"/>
              </w:rPr>
              <w:t>0000</w:t>
            </w:r>
          </w:p>
        </w:tc>
        <w:tc>
          <w:tcPr>
            <w:tcW w:w="850" w:type="dxa"/>
          </w:tcPr>
          <w:p w14:paraId="7B6B1924" w14:textId="06FD9519" w:rsidR="000E4C0A" w:rsidRPr="00944F7E" w:rsidRDefault="000E4C0A" w:rsidP="0005329B">
            <w:pPr>
              <w:spacing w:after="0" w:line="360" w:lineRule="auto"/>
              <w:rPr>
                <w:rFonts w:ascii="Times New Roman" w:hAnsi="Times New Roman" w:cs="Times New Roman"/>
                <w:i/>
                <w:iCs/>
                <w:color w:val="000000" w:themeColor="text1"/>
                <w:lang w:val="en-US"/>
              </w:rPr>
            </w:pPr>
            <w:r w:rsidRPr="00944F7E">
              <w:rPr>
                <w:rFonts w:ascii="Times New Roman" w:hAnsi="Times New Roman" w:cs="Times New Roman"/>
                <w:i/>
                <w:iCs/>
                <w:color w:val="000000" w:themeColor="text1"/>
                <w:lang w:val="en-US"/>
              </w:rPr>
              <w:t>1</w:t>
            </w:r>
            <w:r w:rsidR="007A1F6F" w:rsidRPr="00944F7E">
              <w:rPr>
                <w:rFonts w:ascii="Times New Roman" w:hAnsi="Times New Roman" w:cs="Times New Roman"/>
                <w:i/>
                <w:iCs/>
                <w:color w:val="000000" w:themeColor="text1"/>
                <w:lang w:val="en-US"/>
              </w:rPr>
              <w:t>.</w:t>
            </w:r>
            <w:r w:rsidRPr="00944F7E">
              <w:rPr>
                <w:rFonts w:ascii="Times New Roman" w:hAnsi="Times New Roman" w:cs="Times New Roman"/>
                <w:i/>
                <w:iCs/>
                <w:color w:val="000000" w:themeColor="text1"/>
                <w:lang w:val="en-US"/>
              </w:rPr>
              <w:t>000</w:t>
            </w:r>
          </w:p>
        </w:tc>
        <w:tc>
          <w:tcPr>
            <w:tcW w:w="709" w:type="dxa"/>
          </w:tcPr>
          <w:p w14:paraId="449D316D" w14:textId="364878D3" w:rsidR="000E4C0A" w:rsidRPr="00944F7E" w:rsidRDefault="000E4C0A" w:rsidP="0005329B">
            <w:pPr>
              <w:spacing w:after="0" w:line="360" w:lineRule="auto"/>
              <w:rPr>
                <w:rFonts w:ascii="Times New Roman" w:hAnsi="Times New Roman" w:cs="Times New Roman"/>
                <w:i/>
                <w:iCs/>
                <w:color w:val="000000" w:themeColor="text1"/>
                <w:lang w:val="en-US"/>
              </w:rPr>
            </w:pPr>
            <w:r w:rsidRPr="00944F7E">
              <w:rPr>
                <w:rFonts w:ascii="Times New Roman" w:hAnsi="Times New Roman" w:cs="Times New Roman"/>
                <w:i/>
                <w:iCs/>
                <w:color w:val="000000" w:themeColor="text1"/>
                <w:lang w:val="en-US"/>
              </w:rPr>
              <w:t>0</w:t>
            </w:r>
            <w:r w:rsidR="007A1F6F" w:rsidRPr="00944F7E">
              <w:rPr>
                <w:rFonts w:ascii="Times New Roman" w:hAnsi="Times New Roman" w:cs="Times New Roman"/>
                <w:i/>
                <w:iCs/>
                <w:color w:val="000000" w:themeColor="text1"/>
                <w:lang w:val="en-US"/>
              </w:rPr>
              <w:t>.</w:t>
            </w:r>
            <w:r w:rsidRPr="00944F7E">
              <w:rPr>
                <w:rFonts w:ascii="Times New Roman" w:hAnsi="Times New Roman" w:cs="Times New Roman"/>
                <w:i/>
                <w:iCs/>
                <w:color w:val="000000" w:themeColor="text1"/>
                <w:lang w:val="en-US"/>
              </w:rPr>
              <w:t>1363</w:t>
            </w:r>
          </w:p>
        </w:tc>
        <w:tc>
          <w:tcPr>
            <w:tcW w:w="1128" w:type="dxa"/>
          </w:tcPr>
          <w:p w14:paraId="1782DCFF" w14:textId="407DA9BC" w:rsidR="000E4C0A" w:rsidRPr="00944F7E" w:rsidRDefault="000E4C0A" w:rsidP="0005329B">
            <w:pPr>
              <w:spacing w:after="0" w:line="360" w:lineRule="auto"/>
              <w:rPr>
                <w:rFonts w:ascii="Times New Roman" w:hAnsi="Times New Roman" w:cs="Times New Roman"/>
                <w:i/>
                <w:iCs/>
                <w:color w:val="000000" w:themeColor="text1"/>
                <w:lang w:val="en-US"/>
              </w:rPr>
            </w:pPr>
            <w:r w:rsidRPr="00944F7E">
              <w:rPr>
                <w:rFonts w:ascii="Times New Roman" w:hAnsi="Times New Roman" w:cs="Times New Roman"/>
                <w:i/>
                <w:iCs/>
                <w:color w:val="000000" w:themeColor="text1"/>
                <w:lang w:val="en-US"/>
              </w:rPr>
              <w:t>0</w:t>
            </w:r>
            <w:r w:rsidR="007A1F6F" w:rsidRPr="00944F7E">
              <w:rPr>
                <w:rFonts w:ascii="Times New Roman" w:hAnsi="Times New Roman" w:cs="Times New Roman"/>
                <w:i/>
                <w:iCs/>
                <w:color w:val="000000" w:themeColor="text1"/>
                <w:lang w:val="en-US"/>
              </w:rPr>
              <w:t>.</w:t>
            </w:r>
            <w:r w:rsidRPr="00944F7E">
              <w:rPr>
                <w:rFonts w:ascii="Times New Roman" w:hAnsi="Times New Roman" w:cs="Times New Roman"/>
                <w:i/>
                <w:iCs/>
                <w:color w:val="000000" w:themeColor="text1"/>
                <w:lang w:val="en-US"/>
              </w:rPr>
              <w:t>2005</w:t>
            </w:r>
          </w:p>
        </w:tc>
      </w:tr>
      <w:tr w:rsidR="000E4C0A" w:rsidRPr="000E4C0A" w14:paraId="23C6E912" w14:textId="77777777" w:rsidTr="0005329B">
        <w:trPr>
          <w:trHeight w:val="403"/>
        </w:trPr>
        <w:tc>
          <w:tcPr>
            <w:tcW w:w="2689" w:type="dxa"/>
          </w:tcPr>
          <w:p w14:paraId="23E7FF91" w14:textId="1AE6C87F" w:rsidR="000E4C0A" w:rsidRPr="000E4C0A" w:rsidRDefault="000E4C0A" w:rsidP="0005329B">
            <w:pPr>
              <w:spacing w:after="0" w:line="360" w:lineRule="auto"/>
              <w:rPr>
                <w:rFonts w:ascii="Times New Roman" w:hAnsi="Times New Roman" w:cs="Times New Roman"/>
              </w:rPr>
            </w:pPr>
            <w:r w:rsidRPr="000E4C0A">
              <w:rPr>
                <w:rFonts w:ascii="Times New Roman" w:hAnsi="Times New Roman" w:cs="Times New Roman"/>
              </w:rPr>
              <w:t xml:space="preserve">PPP cumulative </w:t>
            </w:r>
            <w:proofErr w:type="spellStart"/>
            <w:r w:rsidRPr="000E4C0A">
              <w:rPr>
                <w:rFonts w:ascii="Times New Roman" w:hAnsi="Times New Roman" w:cs="Times New Roman"/>
              </w:rPr>
              <w:t>value</w:t>
            </w:r>
            <w:proofErr w:type="spellEnd"/>
          </w:p>
        </w:tc>
        <w:tc>
          <w:tcPr>
            <w:tcW w:w="850" w:type="dxa"/>
          </w:tcPr>
          <w:p w14:paraId="1644131A" w14:textId="65C97E60"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28</w:t>
            </w:r>
          </w:p>
        </w:tc>
        <w:tc>
          <w:tcPr>
            <w:tcW w:w="851" w:type="dxa"/>
          </w:tcPr>
          <w:p w14:paraId="4C9D937A" w14:textId="7E02197D"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p>
        </w:tc>
        <w:tc>
          <w:tcPr>
            <w:tcW w:w="850" w:type="dxa"/>
          </w:tcPr>
          <w:p w14:paraId="542F90A7" w14:textId="4E908878"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28</w:t>
            </w:r>
          </w:p>
        </w:tc>
        <w:tc>
          <w:tcPr>
            <w:tcW w:w="851" w:type="dxa"/>
          </w:tcPr>
          <w:p w14:paraId="3FCD2EA2" w14:textId="31580658"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0000</w:t>
            </w:r>
          </w:p>
        </w:tc>
        <w:tc>
          <w:tcPr>
            <w:tcW w:w="850" w:type="dxa"/>
          </w:tcPr>
          <w:p w14:paraId="3D82E022" w14:textId="428B3AE1"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1</w:t>
            </w:r>
            <w:r w:rsidR="007A1F6F">
              <w:rPr>
                <w:rFonts w:ascii="Times New Roman" w:hAnsi="Times New Roman" w:cs="Times New Roman"/>
                <w:i/>
                <w:iCs/>
                <w:lang w:val="en-US"/>
              </w:rPr>
              <w:t>.</w:t>
            </w:r>
            <w:r w:rsidRPr="000E4C0A">
              <w:rPr>
                <w:rFonts w:ascii="Times New Roman" w:hAnsi="Times New Roman" w:cs="Times New Roman"/>
                <w:i/>
                <w:iCs/>
                <w:lang w:val="en-US"/>
              </w:rPr>
              <w:t>000</w:t>
            </w:r>
          </w:p>
        </w:tc>
        <w:tc>
          <w:tcPr>
            <w:tcW w:w="709" w:type="dxa"/>
          </w:tcPr>
          <w:p w14:paraId="4552C5F9" w14:textId="3814ABCC"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1125</w:t>
            </w:r>
          </w:p>
        </w:tc>
        <w:tc>
          <w:tcPr>
            <w:tcW w:w="1128" w:type="dxa"/>
          </w:tcPr>
          <w:p w14:paraId="60DD45AD" w14:textId="5B9A36D8"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2000</w:t>
            </w:r>
          </w:p>
        </w:tc>
      </w:tr>
      <w:tr w:rsidR="000E4C0A" w:rsidRPr="000E4C0A" w14:paraId="6F4E086F" w14:textId="77777777" w:rsidTr="0005329B">
        <w:tc>
          <w:tcPr>
            <w:tcW w:w="2689" w:type="dxa"/>
          </w:tcPr>
          <w:p w14:paraId="7FD94791" w14:textId="600B4464"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rPr>
              <w:t xml:space="preserve">Real GDP per </w:t>
            </w:r>
            <w:proofErr w:type="spellStart"/>
            <w:r w:rsidRPr="000E4C0A">
              <w:rPr>
                <w:rFonts w:ascii="Times New Roman" w:hAnsi="Times New Roman" w:cs="Times New Roman"/>
              </w:rPr>
              <w:t>capita</w:t>
            </w:r>
            <w:proofErr w:type="spellEnd"/>
            <w:r w:rsidRPr="000E4C0A">
              <w:rPr>
                <w:rFonts w:ascii="Times New Roman" w:hAnsi="Times New Roman" w:cs="Times New Roman"/>
              </w:rPr>
              <w:t xml:space="preserve"> </w:t>
            </w:r>
            <w:proofErr w:type="spellStart"/>
            <w:r w:rsidRPr="000E4C0A">
              <w:rPr>
                <w:rFonts w:ascii="Times New Roman" w:hAnsi="Times New Roman" w:cs="Times New Roman"/>
              </w:rPr>
              <w:t>growth</w:t>
            </w:r>
            <w:proofErr w:type="spellEnd"/>
            <w:r w:rsidRPr="000E4C0A">
              <w:rPr>
                <w:rFonts w:ascii="Times New Roman" w:hAnsi="Times New Roman" w:cs="Times New Roman"/>
              </w:rPr>
              <w:t xml:space="preserve"> – </w:t>
            </w:r>
            <w:proofErr w:type="spellStart"/>
            <w:r w:rsidRPr="000E4C0A">
              <w:rPr>
                <w:rFonts w:ascii="Times New Roman" w:hAnsi="Times New Roman" w:cs="Times New Roman"/>
              </w:rPr>
              <w:t>average</w:t>
            </w:r>
            <w:proofErr w:type="spellEnd"/>
            <w:r w:rsidRPr="000E4C0A">
              <w:rPr>
                <w:rFonts w:ascii="Times New Roman" w:hAnsi="Times New Roman" w:cs="Times New Roman"/>
              </w:rPr>
              <w:t xml:space="preserve"> for </w:t>
            </w:r>
            <w:proofErr w:type="spellStart"/>
            <w:r w:rsidRPr="000E4C0A">
              <w:rPr>
                <w:rFonts w:ascii="Times New Roman" w:hAnsi="Times New Roman" w:cs="Times New Roman"/>
              </w:rPr>
              <w:t>the</w:t>
            </w:r>
            <w:proofErr w:type="spellEnd"/>
            <w:r w:rsidRPr="000E4C0A">
              <w:rPr>
                <w:rFonts w:ascii="Times New Roman" w:hAnsi="Times New Roman" w:cs="Times New Roman"/>
              </w:rPr>
              <w:t xml:space="preserve"> period 2013–2024</w:t>
            </w:r>
          </w:p>
        </w:tc>
        <w:tc>
          <w:tcPr>
            <w:tcW w:w="850" w:type="dxa"/>
          </w:tcPr>
          <w:p w14:paraId="4D9B7398" w14:textId="1FDAD935"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28</w:t>
            </w:r>
          </w:p>
        </w:tc>
        <w:tc>
          <w:tcPr>
            <w:tcW w:w="851" w:type="dxa"/>
          </w:tcPr>
          <w:p w14:paraId="5FAE7A0A" w14:textId="6A760A04"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p>
        </w:tc>
        <w:tc>
          <w:tcPr>
            <w:tcW w:w="850" w:type="dxa"/>
          </w:tcPr>
          <w:p w14:paraId="438CBA15" w14:textId="505AAF5E"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28</w:t>
            </w:r>
          </w:p>
        </w:tc>
        <w:tc>
          <w:tcPr>
            <w:tcW w:w="851" w:type="dxa"/>
          </w:tcPr>
          <w:p w14:paraId="08CB996A" w14:textId="2A3326E4"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0042</w:t>
            </w:r>
          </w:p>
        </w:tc>
        <w:tc>
          <w:tcPr>
            <w:tcW w:w="850" w:type="dxa"/>
          </w:tcPr>
          <w:p w14:paraId="05C92C90" w14:textId="7D1C73A8"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1</w:t>
            </w:r>
            <w:r w:rsidR="007A1F6F">
              <w:rPr>
                <w:rFonts w:ascii="Times New Roman" w:hAnsi="Times New Roman" w:cs="Times New Roman"/>
                <w:i/>
                <w:iCs/>
                <w:lang w:val="en-US"/>
              </w:rPr>
              <w:t>.</w:t>
            </w:r>
            <w:r w:rsidRPr="000E4C0A">
              <w:rPr>
                <w:rFonts w:ascii="Times New Roman" w:hAnsi="Times New Roman" w:cs="Times New Roman"/>
                <w:i/>
                <w:iCs/>
                <w:lang w:val="en-US"/>
              </w:rPr>
              <w:t>000</w:t>
            </w:r>
          </w:p>
        </w:tc>
        <w:tc>
          <w:tcPr>
            <w:tcW w:w="709" w:type="dxa"/>
          </w:tcPr>
          <w:p w14:paraId="710F9A65" w14:textId="48783ECC"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3474</w:t>
            </w:r>
          </w:p>
        </w:tc>
        <w:tc>
          <w:tcPr>
            <w:tcW w:w="1128" w:type="dxa"/>
          </w:tcPr>
          <w:p w14:paraId="11BF3482" w14:textId="3F0703E9"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2347</w:t>
            </w:r>
          </w:p>
        </w:tc>
      </w:tr>
      <w:tr w:rsidR="000E4C0A" w:rsidRPr="000E4C0A" w14:paraId="30D49CFD" w14:textId="77777777" w:rsidTr="0005329B">
        <w:tc>
          <w:tcPr>
            <w:tcW w:w="2689" w:type="dxa"/>
          </w:tcPr>
          <w:p w14:paraId="0BE10D5B" w14:textId="799A4C2E" w:rsidR="000E4C0A" w:rsidRPr="000E4C0A" w:rsidRDefault="000E4C0A" w:rsidP="0005329B">
            <w:pPr>
              <w:spacing w:after="0" w:line="360" w:lineRule="auto"/>
              <w:rPr>
                <w:rFonts w:ascii="Times New Roman" w:hAnsi="Times New Roman" w:cs="Times New Roman"/>
                <w:i/>
                <w:iCs/>
                <w:lang w:val="en-US"/>
              </w:rPr>
            </w:pPr>
            <w:proofErr w:type="spellStart"/>
            <w:r w:rsidRPr="000E4C0A">
              <w:rPr>
                <w:rFonts w:ascii="Times New Roman" w:hAnsi="Times New Roman" w:cs="Times New Roman"/>
              </w:rPr>
              <w:t>Unemployment</w:t>
            </w:r>
            <w:proofErr w:type="spellEnd"/>
            <w:r w:rsidRPr="000E4C0A">
              <w:rPr>
                <w:rFonts w:ascii="Times New Roman" w:hAnsi="Times New Roman" w:cs="Times New Roman"/>
              </w:rPr>
              <w:t xml:space="preserve"> rate – </w:t>
            </w:r>
            <w:proofErr w:type="spellStart"/>
            <w:r w:rsidRPr="000E4C0A">
              <w:rPr>
                <w:rFonts w:ascii="Times New Roman" w:hAnsi="Times New Roman" w:cs="Times New Roman"/>
              </w:rPr>
              <w:t>average</w:t>
            </w:r>
            <w:proofErr w:type="spellEnd"/>
            <w:r w:rsidRPr="000E4C0A">
              <w:rPr>
                <w:rFonts w:ascii="Times New Roman" w:hAnsi="Times New Roman" w:cs="Times New Roman"/>
              </w:rPr>
              <w:t xml:space="preserve"> for </w:t>
            </w:r>
            <w:proofErr w:type="spellStart"/>
            <w:r w:rsidRPr="000E4C0A">
              <w:rPr>
                <w:rFonts w:ascii="Times New Roman" w:hAnsi="Times New Roman" w:cs="Times New Roman"/>
              </w:rPr>
              <w:t>the</w:t>
            </w:r>
            <w:proofErr w:type="spellEnd"/>
            <w:r w:rsidRPr="000E4C0A">
              <w:rPr>
                <w:rFonts w:ascii="Times New Roman" w:hAnsi="Times New Roman" w:cs="Times New Roman"/>
              </w:rPr>
              <w:t xml:space="preserve"> period 2013–2024</w:t>
            </w:r>
          </w:p>
        </w:tc>
        <w:tc>
          <w:tcPr>
            <w:tcW w:w="850" w:type="dxa"/>
          </w:tcPr>
          <w:p w14:paraId="53CA0040" w14:textId="29CB8BA4"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28</w:t>
            </w:r>
          </w:p>
        </w:tc>
        <w:tc>
          <w:tcPr>
            <w:tcW w:w="851" w:type="dxa"/>
          </w:tcPr>
          <w:p w14:paraId="077866D4" w14:textId="4D6B3DFA"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p>
        </w:tc>
        <w:tc>
          <w:tcPr>
            <w:tcW w:w="850" w:type="dxa"/>
          </w:tcPr>
          <w:p w14:paraId="310D82BF" w14:textId="42068982"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28</w:t>
            </w:r>
          </w:p>
        </w:tc>
        <w:tc>
          <w:tcPr>
            <w:tcW w:w="851" w:type="dxa"/>
          </w:tcPr>
          <w:p w14:paraId="6E5DA7E9" w14:textId="7E9780A4"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1841</w:t>
            </w:r>
          </w:p>
        </w:tc>
        <w:tc>
          <w:tcPr>
            <w:tcW w:w="850" w:type="dxa"/>
          </w:tcPr>
          <w:p w14:paraId="19FF7D46" w14:textId="4C2D5959"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1</w:t>
            </w:r>
            <w:r w:rsidR="007A1F6F">
              <w:rPr>
                <w:rFonts w:ascii="Times New Roman" w:hAnsi="Times New Roman" w:cs="Times New Roman"/>
                <w:i/>
                <w:iCs/>
                <w:lang w:val="en-US"/>
              </w:rPr>
              <w:t>.</w:t>
            </w:r>
            <w:r w:rsidRPr="000E4C0A">
              <w:rPr>
                <w:rFonts w:ascii="Times New Roman" w:hAnsi="Times New Roman" w:cs="Times New Roman"/>
                <w:i/>
                <w:iCs/>
                <w:lang w:val="en-US"/>
              </w:rPr>
              <w:t>000</w:t>
            </w:r>
          </w:p>
        </w:tc>
        <w:tc>
          <w:tcPr>
            <w:tcW w:w="709" w:type="dxa"/>
          </w:tcPr>
          <w:p w14:paraId="4DB3B190" w14:textId="091D8E1E"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4022</w:t>
            </w:r>
          </w:p>
        </w:tc>
        <w:tc>
          <w:tcPr>
            <w:tcW w:w="1128" w:type="dxa"/>
          </w:tcPr>
          <w:p w14:paraId="7975A1FF" w14:textId="6755B01F"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1834</w:t>
            </w:r>
          </w:p>
        </w:tc>
      </w:tr>
      <w:tr w:rsidR="000E4C0A" w:rsidRPr="000E4C0A" w14:paraId="0EFDFB90" w14:textId="77777777" w:rsidTr="0005329B">
        <w:tc>
          <w:tcPr>
            <w:tcW w:w="2689" w:type="dxa"/>
          </w:tcPr>
          <w:p w14:paraId="5A0FED56" w14:textId="7D5F9FF2" w:rsidR="000E4C0A" w:rsidRPr="000E4C0A" w:rsidRDefault="000E4C0A" w:rsidP="0005329B">
            <w:pPr>
              <w:spacing w:after="0" w:line="360" w:lineRule="auto"/>
              <w:rPr>
                <w:rFonts w:ascii="Times New Roman" w:hAnsi="Times New Roman" w:cs="Times New Roman"/>
                <w:i/>
                <w:iCs/>
                <w:lang w:val="en-US"/>
              </w:rPr>
            </w:pPr>
            <w:proofErr w:type="spellStart"/>
            <w:r w:rsidRPr="000E4C0A">
              <w:rPr>
                <w:rFonts w:ascii="Times New Roman" w:hAnsi="Times New Roman" w:cs="Times New Roman"/>
              </w:rPr>
              <w:t>Share</w:t>
            </w:r>
            <w:proofErr w:type="spellEnd"/>
            <w:r w:rsidRPr="000E4C0A">
              <w:rPr>
                <w:rFonts w:ascii="Times New Roman" w:hAnsi="Times New Roman" w:cs="Times New Roman"/>
              </w:rPr>
              <w:t xml:space="preserve"> of </w:t>
            </w:r>
            <w:proofErr w:type="spellStart"/>
            <w:r w:rsidRPr="000E4C0A">
              <w:rPr>
                <w:rFonts w:ascii="Times New Roman" w:hAnsi="Times New Roman" w:cs="Times New Roman"/>
              </w:rPr>
              <w:t>investment</w:t>
            </w:r>
            <w:proofErr w:type="spellEnd"/>
            <w:r w:rsidRPr="000E4C0A">
              <w:rPr>
                <w:rFonts w:ascii="Times New Roman" w:hAnsi="Times New Roman" w:cs="Times New Roman"/>
              </w:rPr>
              <w:t xml:space="preserve"> – </w:t>
            </w:r>
            <w:proofErr w:type="spellStart"/>
            <w:r w:rsidRPr="000E4C0A">
              <w:rPr>
                <w:rFonts w:ascii="Times New Roman" w:hAnsi="Times New Roman" w:cs="Times New Roman"/>
              </w:rPr>
              <w:t>average</w:t>
            </w:r>
            <w:proofErr w:type="spellEnd"/>
            <w:r w:rsidRPr="000E4C0A">
              <w:rPr>
                <w:rFonts w:ascii="Times New Roman" w:hAnsi="Times New Roman" w:cs="Times New Roman"/>
              </w:rPr>
              <w:t xml:space="preserve"> for </w:t>
            </w:r>
            <w:proofErr w:type="spellStart"/>
            <w:r w:rsidRPr="000E4C0A">
              <w:rPr>
                <w:rFonts w:ascii="Times New Roman" w:hAnsi="Times New Roman" w:cs="Times New Roman"/>
              </w:rPr>
              <w:t>the</w:t>
            </w:r>
            <w:proofErr w:type="spellEnd"/>
            <w:r w:rsidRPr="000E4C0A">
              <w:rPr>
                <w:rFonts w:ascii="Times New Roman" w:hAnsi="Times New Roman" w:cs="Times New Roman"/>
              </w:rPr>
              <w:t xml:space="preserve"> period 2013–2024</w:t>
            </w:r>
          </w:p>
        </w:tc>
        <w:tc>
          <w:tcPr>
            <w:tcW w:w="850" w:type="dxa"/>
          </w:tcPr>
          <w:p w14:paraId="3010D3E9" w14:textId="00B8CDB3"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28</w:t>
            </w:r>
          </w:p>
        </w:tc>
        <w:tc>
          <w:tcPr>
            <w:tcW w:w="851" w:type="dxa"/>
          </w:tcPr>
          <w:p w14:paraId="109E590E" w14:textId="263589B2"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p>
        </w:tc>
        <w:tc>
          <w:tcPr>
            <w:tcW w:w="850" w:type="dxa"/>
          </w:tcPr>
          <w:p w14:paraId="25CB2589" w14:textId="0FD60A55"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28</w:t>
            </w:r>
          </w:p>
        </w:tc>
        <w:tc>
          <w:tcPr>
            <w:tcW w:w="851" w:type="dxa"/>
          </w:tcPr>
          <w:p w14:paraId="7D6BBC20" w14:textId="5E7C429B"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4388</w:t>
            </w:r>
          </w:p>
        </w:tc>
        <w:tc>
          <w:tcPr>
            <w:tcW w:w="850" w:type="dxa"/>
          </w:tcPr>
          <w:p w14:paraId="291D2325" w14:textId="13BC08A8"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1</w:t>
            </w:r>
            <w:r w:rsidR="007A1F6F">
              <w:rPr>
                <w:rFonts w:ascii="Times New Roman" w:hAnsi="Times New Roman" w:cs="Times New Roman"/>
                <w:i/>
                <w:iCs/>
                <w:lang w:val="en-US"/>
              </w:rPr>
              <w:t>.</w:t>
            </w:r>
            <w:r w:rsidRPr="000E4C0A">
              <w:rPr>
                <w:rFonts w:ascii="Times New Roman" w:hAnsi="Times New Roman" w:cs="Times New Roman"/>
                <w:i/>
                <w:iCs/>
                <w:lang w:val="en-US"/>
              </w:rPr>
              <w:t>000</w:t>
            </w:r>
          </w:p>
        </w:tc>
        <w:tc>
          <w:tcPr>
            <w:tcW w:w="709" w:type="dxa"/>
          </w:tcPr>
          <w:p w14:paraId="4BEB2D04" w14:textId="16C908B1"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7503</w:t>
            </w:r>
          </w:p>
        </w:tc>
        <w:tc>
          <w:tcPr>
            <w:tcW w:w="1128" w:type="dxa"/>
          </w:tcPr>
          <w:p w14:paraId="5DD9FE4F" w14:textId="556DB3CE"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1194</w:t>
            </w:r>
          </w:p>
        </w:tc>
      </w:tr>
      <w:tr w:rsidR="000E4C0A" w:rsidRPr="000E4C0A" w14:paraId="0D805B66" w14:textId="77777777" w:rsidTr="0005329B">
        <w:tc>
          <w:tcPr>
            <w:tcW w:w="2689" w:type="dxa"/>
          </w:tcPr>
          <w:p w14:paraId="701165AA" w14:textId="5A62E81D"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rPr>
              <w:t>Quality-</w:t>
            </w:r>
            <w:proofErr w:type="spellStart"/>
            <w:r w:rsidRPr="000E4C0A">
              <w:rPr>
                <w:rFonts w:ascii="Times New Roman" w:hAnsi="Times New Roman" w:cs="Times New Roman"/>
              </w:rPr>
              <w:t>Adjusted</w:t>
            </w:r>
            <w:proofErr w:type="spellEnd"/>
            <w:r w:rsidRPr="000E4C0A">
              <w:rPr>
                <w:rFonts w:ascii="Times New Roman" w:hAnsi="Times New Roman" w:cs="Times New Roman"/>
              </w:rPr>
              <w:t xml:space="preserve"> </w:t>
            </w:r>
            <w:proofErr w:type="spellStart"/>
            <w:r w:rsidRPr="000E4C0A">
              <w:rPr>
                <w:rFonts w:ascii="Times New Roman" w:hAnsi="Times New Roman" w:cs="Times New Roman"/>
              </w:rPr>
              <w:t>Labour</w:t>
            </w:r>
            <w:proofErr w:type="spellEnd"/>
            <w:r w:rsidRPr="000E4C0A">
              <w:rPr>
                <w:rFonts w:ascii="Times New Roman" w:hAnsi="Times New Roman" w:cs="Times New Roman"/>
              </w:rPr>
              <w:t xml:space="preserve"> Input (QALI) index – </w:t>
            </w:r>
            <w:proofErr w:type="spellStart"/>
            <w:r w:rsidRPr="000E4C0A">
              <w:rPr>
                <w:rFonts w:ascii="Times New Roman" w:hAnsi="Times New Roman" w:cs="Times New Roman"/>
              </w:rPr>
              <w:t>average</w:t>
            </w:r>
            <w:proofErr w:type="spellEnd"/>
            <w:r w:rsidRPr="000E4C0A">
              <w:rPr>
                <w:rFonts w:ascii="Times New Roman" w:hAnsi="Times New Roman" w:cs="Times New Roman"/>
              </w:rPr>
              <w:t xml:space="preserve"> for </w:t>
            </w:r>
            <w:proofErr w:type="spellStart"/>
            <w:r w:rsidRPr="000E4C0A">
              <w:rPr>
                <w:rFonts w:ascii="Times New Roman" w:hAnsi="Times New Roman" w:cs="Times New Roman"/>
              </w:rPr>
              <w:t>the</w:t>
            </w:r>
            <w:proofErr w:type="spellEnd"/>
            <w:r w:rsidRPr="000E4C0A">
              <w:rPr>
                <w:rFonts w:ascii="Times New Roman" w:hAnsi="Times New Roman" w:cs="Times New Roman"/>
              </w:rPr>
              <w:t xml:space="preserve"> period 2013–2024</w:t>
            </w:r>
          </w:p>
        </w:tc>
        <w:tc>
          <w:tcPr>
            <w:tcW w:w="850" w:type="dxa"/>
          </w:tcPr>
          <w:p w14:paraId="66762A0F" w14:textId="4CB80B91"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28</w:t>
            </w:r>
          </w:p>
        </w:tc>
        <w:tc>
          <w:tcPr>
            <w:tcW w:w="851" w:type="dxa"/>
          </w:tcPr>
          <w:p w14:paraId="5E3872AA" w14:textId="6EF03E63"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p>
        </w:tc>
        <w:tc>
          <w:tcPr>
            <w:tcW w:w="850" w:type="dxa"/>
          </w:tcPr>
          <w:p w14:paraId="3693CF35" w14:textId="21572B02"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28</w:t>
            </w:r>
          </w:p>
        </w:tc>
        <w:tc>
          <w:tcPr>
            <w:tcW w:w="851" w:type="dxa"/>
          </w:tcPr>
          <w:p w14:paraId="5F80E9DC" w14:textId="6A742937"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7044</w:t>
            </w:r>
          </w:p>
        </w:tc>
        <w:tc>
          <w:tcPr>
            <w:tcW w:w="850" w:type="dxa"/>
          </w:tcPr>
          <w:p w14:paraId="6F98934E" w14:textId="02512F1C"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1</w:t>
            </w:r>
            <w:r w:rsidR="007A1F6F">
              <w:rPr>
                <w:rFonts w:ascii="Times New Roman" w:hAnsi="Times New Roman" w:cs="Times New Roman"/>
                <w:i/>
                <w:iCs/>
                <w:lang w:val="en-US"/>
              </w:rPr>
              <w:t>.</w:t>
            </w:r>
            <w:r w:rsidRPr="000E4C0A">
              <w:rPr>
                <w:rFonts w:ascii="Times New Roman" w:hAnsi="Times New Roman" w:cs="Times New Roman"/>
                <w:i/>
                <w:iCs/>
                <w:lang w:val="en-US"/>
              </w:rPr>
              <w:t>000</w:t>
            </w:r>
          </w:p>
        </w:tc>
        <w:tc>
          <w:tcPr>
            <w:tcW w:w="709" w:type="dxa"/>
          </w:tcPr>
          <w:p w14:paraId="3B7692BC" w14:textId="4669D673"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9060</w:t>
            </w:r>
          </w:p>
        </w:tc>
        <w:tc>
          <w:tcPr>
            <w:tcW w:w="1128" w:type="dxa"/>
          </w:tcPr>
          <w:p w14:paraId="4B58173D" w14:textId="04638DC3" w:rsidR="000E4C0A" w:rsidRPr="000E4C0A" w:rsidRDefault="000E4C0A" w:rsidP="0005329B">
            <w:pPr>
              <w:spacing w:after="0" w:line="360" w:lineRule="auto"/>
              <w:rPr>
                <w:rFonts w:ascii="Times New Roman" w:hAnsi="Times New Roman" w:cs="Times New Roman"/>
                <w:i/>
                <w:iCs/>
                <w:lang w:val="en-US"/>
              </w:rPr>
            </w:pPr>
            <w:r w:rsidRPr="000E4C0A">
              <w:rPr>
                <w:rFonts w:ascii="Times New Roman" w:hAnsi="Times New Roman" w:cs="Times New Roman"/>
                <w:i/>
                <w:iCs/>
                <w:lang w:val="en-US"/>
              </w:rPr>
              <w:t>0</w:t>
            </w:r>
            <w:r w:rsidR="007A1F6F">
              <w:rPr>
                <w:rFonts w:ascii="Times New Roman" w:hAnsi="Times New Roman" w:cs="Times New Roman"/>
                <w:i/>
                <w:iCs/>
                <w:lang w:val="en-US"/>
              </w:rPr>
              <w:t>.</w:t>
            </w:r>
            <w:r w:rsidRPr="000E4C0A">
              <w:rPr>
                <w:rFonts w:ascii="Times New Roman" w:hAnsi="Times New Roman" w:cs="Times New Roman"/>
                <w:i/>
                <w:iCs/>
                <w:lang w:val="en-US"/>
              </w:rPr>
              <w:t>0600</w:t>
            </w:r>
          </w:p>
        </w:tc>
      </w:tr>
    </w:tbl>
    <w:p w14:paraId="4DBEC38F" w14:textId="76C3E169" w:rsidR="0068382F" w:rsidRPr="000E4C0A" w:rsidRDefault="000E4C0A" w:rsidP="008475D9">
      <w:pPr>
        <w:spacing w:line="360" w:lineRule="auto"/>
        <w:rPr>
          <w:rFonts w:ascii="Times New Roman" w:hAnsi="Times New Roman" w:cs="Times New Roman"/>
          <w:i/>
          <w:iCs/>
          <w:sz w:val="21"/>
          <w:szCs w:val="21"/>
          <w:lang w:val="en-US"/>
        </w:rPr>
      </w:pPr>
      <w:r>
        <w:rPr>
          <w:rFonts w:ascii="Times New Roman" w:hAnsi="Times New Roman" w:cs="Times New Roman"/>
          <w:i/>
          <w:iCs/>
          <w:lang w:val="en-US"/>
        </w:rPr>
        <w:t xml:space="preserve"> </w:t>
      </w:r>
      <w:proofErr w:type="spellStart"/>
      <w:r w:rsidRPr="00BB2B60">
        <w:rPr>
          <w:rFonts w:ascii="Times New Roman" w:hAnsi="Times New Roman" w:cs="Times New Roman"/>
          <w:i/>
          <w:iCs/>
          <w:sz w:val="21"/>
          <w:szCs w:val="21"/>
        </w:rPr>
        <w:t>Source</w:t>
      </w:r>
      <w:proofErr w:type="spellEnd"/>
      <w:r w:rsidRPr="00BB2B60">
        <w:rPr>
          <w:rFonts w:ascii="Times New Roman" w:hAnsi="Times New Roman" w:cs="Times New Roman"/>
          <w:i/>
          <w:iCs/>
          <w:sz w:val="21"/>
          <w:szCs w:val="21"/>
        </w:rPr>
        <w:t xml:space="preserve">: </w:t>
      </w:r>
      <w:proofErr w:type="spellStart"/>
      <w:r w:rsidRPr="00BB2B60">
        <w:rPr>
          <w:rFonts w:ascii="Times New Roman" w:hAnsi="Times New Roman" w:cs="Times New Roman"/>
          <w:i/>
          <w:iCs/>
          <w:sz w:val="21"/>
          <w:szCs w:val="21"/>
        </w:rPr>
        <w:t>Authors</w:t>
      </w:r>
      <w:proofErr w:type="spellEnd"/>
      <w:r w:rsidRPr="00BB2B60">
        <w:rPr>
          <w:rFonts w:ascii="Times New Roman" w:hAnsi="Times New Roman" w:cs="Times New Roman"/>
          <w:i/>
          <w:iCs/>
          <w:sz w:val="21"/>
          <w:szCs w:val="21"/>
          <w:lang w:val="en-US"/>
        </w:rPr>
        <w:t>’ contribution</w:t>
      </w:r>
      <w:r>
        <w:rPr>
          <w:rFonts w:ascii="Times New Roman" w:hAnsi="Times New Roman" w:cs="Times New Roman"/>
          <w:i/>
          <w:iCs/>
          <w:sz w:val="21"/>
          <w:szCs w:val="21"/>
          <w:lang w:val="en-US"/>
        </w:rPr>
        <w:t>, SPSS processing</w:t>
      </w:r>
    </w:p>
    <w:p w14:paraId="70394CAB" w14:textId="0F42120E" w:rsidR="000E4C0A" w:rsidRDefault="000E4C0A" w:rsidP="0005329B">
      <w:pPr>
        <w:spacing w:after="0" w:line="360" w:lineRule="auto"/>
        <w:rPr>
          <w:rFonts w:ascii="Times New Roman" w:hAnsi="Times New Roman" w:cs="Times New Roman"/>
          <w:i/>
          <w:iCs/>
          <w:lang w:val="en-US"/>
        </w:rPr>
      </w:pPr>
      <w:r>
        <w:rPr>
          <w:rFonts w:ascii="Times New Roman" w:hAnsi="Times New Roman" w:cs="Times New Roman"/>
          <w:i/>
          <w:iCs/>
          <w:lang w:val="en-US"/>
        </w:rPr>
        <w:t>Table no.4 Correlation matrix</w:t>
      </w:r>
    </w:p>
    <w:tbl>
      <w:tblPr>
        <w:tblStyle w:val="TableGrid"/>
        <w:tblW w:w="0" w:type="auto"/>
        <w:tblLook w:val="04A0" w:firstRow="1" w:lastRow="0" w:firstColumn="1" w:lastColumn="0" w:noHBand="0" w:noVBand="1"/>
      </w:tblPr>
      <w:tblGrid>
        <w:gridCol w:w="1585"/>
        <w:gridCol w:w="1198"/>
        <w:gridCol w:w="1199"/>
        <w:gridCol w:w="1199"/>
        <w:gridCol w:w="1199"/>
        <w:gridCol w:w="1199"/>
        <w:gridCol w:w="1199"/>
      </w:tblGrid>
      <w:tr w:rsidR="00280A98" w14:paraId="2680F88B" w14:textId="77777777" w:rsidTr="0048576B">
        <w:trPr>
          <w:trHeight w:val="401"/>
        </w:trPr>
        <w:tc>
          <w:tcPr>
            <w:tcW w:w="1585" w:type="dxa"/>
          </w:tcPr>
          <w:p w14:paraId="43011432" w14:textId="78B340FC" w:rsidR="00280A98" w:rsidRPr="0048576B" w:rsidRDefault="00280A98" w:rsidP="0005329B">
            <w:pPr>
              <w:spacing w:after="0"/>
              <w:rPr>
                <w:rFonts w:ascii="Times New Roman" w:hAnsi="Times New Roman" w:cs="Times New Roman"/>
                <w:lang w:val="en-US"/>
              </w:rPr>
            </w:pPr>
            <w:r w:rsidRPr="0048576B">
              <w:rPr>
                <w:rFonts w:ascii="Times New Roman" w:hAnsi="Times New Roman" w:cs="Times New Roman"/>
                <w:lang w:val="en-US"/>
              </w:rPr>
              <w:t>Variables</w:t>
            </w:r>
          </w:p>
        </w:tc>
        <w:tc>
          <w:tcPr>
            <w:tcW w:w="1198" w:type="dxa"/>
          </w:tcPr>
          <w:p w14:paraId="1B708E85" w14:textId="125DED0B" w:rsidR="00280A98" w:rsidRPr="0048576B" w:rsidRDefault="00280A98" w:rsidP="0005329B">
            <w:pPr>
              <w:spacing w:after="0"/>
              <w:rPr>
                <w:rFonts w:ascii="Times New Roman" w:hAnsi="Times New Roman" w:cs="Times New Roman"/>
                <w:lang w:val="en-US"/>
              </w:rPr>
            </w:pPr>
            <w:r w:rsidRPr="0048576B">
              <w:rPr>
                <w:rFonts w:ascii="Times New Roman" w:hAnsi="Times New Roman" w:cs="Times New Roman"/>
                <w:lang w:val="en-US"/>
              </w:rPr>
              <w:t>Var.1</w:t>
            </w:r>
          </w:p>
        </w:tc>
        <w:tc>
          <w:tcPr>
            <w:tcW w:w="1199" w:type="dxa"/>
          </w:tcPr>
          <w:p w14:paraId="48183B50" w14:textId="6C2ECFF5" w:rsidR="00280A98" w:rsidRPr="0048576B" w:rsidRDefault="00280A98" w:rsidP="0005329B">
            <w:pPr>
              <w:spacing w:after="0"/>
              <w:rPr>
                <w:rFonts w:ascii="Times New Roman" w:hAnsi="Times New Roman" w:cs="Times New Roman"/>
                <w:lang w:val="en-US"/>
              </w:rPr>
            </w:pPr>
            <w:r w:rsidRPr="0048576B">
              <w:rPr>
                <w:rFonts w:ascii="Times New Roman" w:hAnsi="Times New Roman" w:cs="Times New Roman"/>
                <w:lang w:val="en-US"/>
              </w:rPr>
              <w:t>Var.2</w:t>
            </w:r>
          </w:p>
        </w:tc>
        <w:tc>
          <w:tcPr>
            <w:tcW w:w="1199" w:type="dxa"/>
          </w:tcPr>
          <w:p w14:paraId="64A85256" w14:textId="4F0C6B3B" w:rsidR="00280A98" w:rsidRPr="0048576B" w:rsidRDefault="00280A98" w:rsidP="0005329B">
            <w:pPr>
              <w:spacing w:after="0"/>
              <w:rPr>
                <w:rFonts w:ascii="Times New Roman" w:hAnsi="Times New Roman" w:cs="Times New Roman"/>
                <w:lang w:val="en-US"/>
              </w:rPr>
            </w:pPr>
            <w:r w:rsidRPr="0048576B">
              <w:rPr>
                <w:rFonts w:ascii="Times New Roman" w:hAnsi="Times New Roman" w:cs="Times New Roman"/>
                <w:lang w:val="en-US"/>
              </w:rPr>
              <w:t>Var.3</w:t>
            </w:r>
          </w:p>
        </w:tc>
        <w:tc>
          <w:tcPr>
            <w:tcW w:w="1199" w:type="dxa"/>
          </w:tcPr>
          <w:p w14:paraId="286BAB20" w14:textId="710462BE" w:rsidR="00280A98" w:rsidRPr="0048576B" w:rsidRDefault="00280A98" w:rsidP="0005329B">
            <w:pPr>
              <w:spacing w:after="0"/>
              <w:rPr>
                <w:rFonts w:ascii="Times New Roman" w:hAnsi="Times New Roman" w:cs="Times New Roman"/>
                <w:lang w:val="en-US"/>
              </w:rPr>
            </w:pPr>
            <w:r w:rsidRPr="0048576B">
              <w:rPr>
                <w:rFonts w:ascii="Times New Roman" w:hAnsi="Times New Roman" w:cs="Times New Roman"/>
                <w:lang w:val="en-US"/>
              </w:rPr>
              <w:t>Var.4</w:t>
            </w:r>
          </w:p>
        </w:tc>
        <w:tc>
          <w:tcPr>
            <w:tcW w:w="1199" w:type="dxa"/>
          </w:tcPr>
          <w:p w14:paraId="4590A418" w14:textId="3796D6CE" w:rsidR="00280A98" w:rsidRPr="0048576B" w:rsidRDefault="00280A98" w:rsidP="0005329B">
            <w:pPr>
              <w:spacing w:after="0"/>
              <w:rPr>
                <w:rFonts w:ascii="Times New Roman" w:hAnsi="Times New Roman" w:cs="Times New Roman"/>
                <w:lang w:val="en-US"/>
              </w:rPr>
            </w:pPr>
            <w:r w:rsidRPr="0048576B">
              <w:rPr>
                <w:rFonts w:ascii="Times New Roman" w:hAnsi="Times New Roman" w:cs="Times New Roman"/>
                <w:lang w:val="en-US"/>
              </w:rPr>
              <w:t>Var.5</w:t>
            </w:r>
          </w:p>
        </w:tc>
        <w:tc>
          <w:tcPr>
            <w:tcW w:w="1199" w:type="dxa"/>
          </w:tcPr>
          <w:p w14:paraId="58F412C5" w14:textId="521E6600" w:rsidR="00280A98" w:rsidRPr="0048576B" w:rsidRDefault="00280A98" w:rsidP="0005329B">
            <w:pPr>
              <w:spacing w:after="0"/>
              <w:rPr>
                <w:rFonts w:ascii="Times New Roman" w:hAnsi="Times New Roman" w:cs="Times New Roman"/>
                <w:lang w:val="en-US"/>
              </w:rPr>
            </w:pPr>
            <w:r w:rsidRPr="0048576B">
              <w:rPr>
                <w:rFonts w:ascii="Times New Roman" w:hAnsi="Times New Roman" w:cs="Times New Roman"/>
                <w:lang w:val="en-US"/>
              </w:rPr>
              <w:t>Var.6</w:t>
            </w:r>
          </w:p>
        </w:tc>
      </w:tr>
      <w:tr w:rsidR="00280A98" w14:paraId="55030371" w14:textId="77777777" w:rsidTr="00A15970">
        <w:trPr>
          <w:trHeight w:val="724"/>
        </w:trPr>
        <w:tc>
          <w:tcPr>
            <w:tcW w:w="1585" w:type="dxa"/>
          </w:tcPr>
          <w:p w14:paraId="1F59EA4E" w14:textId="0FA271F5" w:rsidR="00280A98" w:rsidRPr="0048576B" w:rsidRDefault="00280A98" w:rsidP="0005329B">
            <w:pPr>
              <w:spacing w:after="0"/>
              <w:rPr>
                <w:rFonts w:ascii="Times New Roman" w:hAnsi="Times New Roman" w:cs="Times New Roman"/>
                <w:lang w:val="en-US"/>
              </w:rPr>
            </w:pPr>
            <w:r w:rsidRPr="0048576B">
              <w:rPr>
                <w:rFonts w:ascii="Times New Roman" w:hAnsi="Times New Roman" w:cs="Times New Roman"/>
              </w:rPr>
              <w:t xml:space="preserve">PPP cumulative </w:t>
            </w:r>
            <w:proofErr w:type="spellStart"/>
            <w:r w:rsidRPr="0048576B">
              <w:rPr>
                <w:rFonts w:ascii="Times New Roman" w:hAnsi="Times New Roman" w:cs="Times New Roman"/>
              </w:rPr>
              <w:t>value</w:t>
            </w:r>
            <w:proofErr w:type="spellEnd"/>
          </w:p>
        </w:tc>
        <w:tc>
          <w:tcPr>
            <w:tcW w:w="1198" w:type="dxa"/>
          </w:tcPr>
          <w:p w14:paraId="577E7A31" w14:textId="0E578521" w:rsidR="00280A98" w:rsidRPr="0048576B" w:rsidRDefault="00280A98" w:rsidP="0005329B">
            <w:pPr>
              <w:spacing w:after="0"/>
              <w:rPr>
                <w:rFonts w:ascii="Times New Roman" w:hAnsi="Times New Roman" w:cs="Times New Roman"/>
                <w:lang w:val="en-US"/>
              </w:rPr>
            </w:pPr>
            <w:r w:rsidRPr="0048576B">
              <w:rPr>
                <w:rFonts w:ascii="Times New Roman" w:hAnsi="Times New Roman" w:cs="Times New Roman"/>
                <w:lang w:val="en-US"/>
              </w:rPr>
              <w:t>1</w:t>
            </w:r>
          </w:p>
        </w:tc>
        <w:tc>
          <w:tcPr>
            <w:tcW w:w="1199" w:type="dxa"/>
          </w:tcPr>
          <w:p w14:paraId="2A228B0F" w14:textId="6443A482" w:rsidR="00280A98" w:rsidRPr="0048576B" w:rsidRDefault="007A1F6F" w:rsidP="0005329B">
            <w:pPr>
              <w:spacing w:after="0"/>
              <w:rPr>
                <w:rFonts w:ascii="Times New Roman" w:hAnsi="Times New Roman" w:cs="Times New Roman"/>
                <w:lang w:val="en-US"/>
              </w:rPr>
            </w:pPr>
            <w:r w:rsidRPr="0048576B">
              <w:rPr>
                <w:rFonts w:ascii="Times New Roman" w:hAnsi="Times New Roman" w:cs="Times New Roman"/>
                <w:lang w:val="en-US"/>
              </w:rPr>
              <w:t>-0.2361</w:t>
            </w:r>
          </w:p>
        </w:tc>
        <w:tc>
          <w:tcPr>
            <w:tcW w:w="1199" w:type="dxa"/>
          </w:tcPr>
          <w:p w14:paraId="0A3D8F73" w14:textId="4C92FC28" w:rsidR="00280A98" w:rsidRPr="0048576B" w:rsidRDefault="007A1F6F" w:rsidP="0005329B">
            <w:pPr>
              <w:spacing w:after="0"/>
              <w:rPr>
                <w:rFonts w:ascii="Times New Roman" w:hAnsi="Times New Roman" w:cs="Times New Roman"/>
                <w:lang w:val="en-US"/>
              </w:rPr>
            </w:pPr>
            <w:r w:rsidRPr="0048576B">
              <w:rPr>
                <w:rFonts w:ascii="Times New Roman" w:hAnsi="Times New Roman" w:cs="Times New Roman"/>
                <w:lang w:val="en-US"/>
              </w:rPr>
              <w:t>0.0349</w:t>
            </w:r>
          </w:p>
        </w:tc>
        <w:tc>
          <w:tcPr>
            <w:tcW w:w="1199" w:type="dxa"/>
          </w:tcPr>
          <w:p w14:paraId="76B4EFD0" w14:textId="5C58E3CF" w:rsidR="00280A98" w:rsidRPr="0048576B" w:rsidRDefault="007A1F6F" w:rsidP="0005329B">
            <w:pPr>
              <w:spacing w:after="0"/>
              <w:rPr>
                <w:rFonts w:ascii="Times New Roman" w:hAnsi="Times New Roman" w:cs="Times New Roman"/>
                <w:lang w:val="en-US"/>
              </w:rPr>
            </w:pPr>
            <w:r w:rsidRPr="0048576B">
              <w:rPr>
                <w:rFonts w:ascii="Times New Roman" w:hAnsi="Times New Roman" w:cs="Times New Roman"/>
                <w:lang w:val="en-US"/>
              </w:rPr>
              <w:t>-0,3158</w:t>
            </w:r>
          </w:p>
        </w:tc>
        <w:tc>
          <w:tcPr>
            <w:tcW w:w="1199" w:type="dxa"/>
          </w:tcPr>
          <w:p w14:paraId="1660F1E1" w14:textId="4786290E" w:rsidR="00280A98" w:rsidRPr="0048576B" w:rsidRDefault="007A1F6F" w:rsidP="0005329B">
            <w:pPr>
              <w:spacing w:after="0"/>
              <w:rPr>
                <w:rFonts w:ascii="Times New Roman" w:hAnsi="Times New Roman" w:cs="Times New Roman"/>
                <w:lang w:val="en-US"/>
              </w:rPr>
            </w:pPr>
            <w:r w:rsidRPr="0048576B">
              <w:rPr>
                <w:rFonts w:ascii="Times New Roman" w:hAnsi="Times New Roman" w:cs="Times New Roman"/>
                <w:lang w:val="en-US"/>
              </w:rPr>
              <w:t>0.0958</w:t>
            </w:r>
          </w:p>
        </w:tc>
        <w:tc>
          <w:tcPr>
            <w:tcW w:w="1199" w:type="dxa"/>
          </w:tcPr>
          <w:p w14:paraId="202C0D32" w14:textId="364A0930" w:rsidR="00280A98" w:rsidRPr="0048576B" w:rsidRDefault="007A1F6F" w:rsidP="0005329B">
            <w:pPr>
              <w:spacing w:after="0"/>
              <w:rPr>
                <w:rFonts w:ascii="Times New Roman" w:hAnsi="Times New Roman" w:cs="Times New Roman"/>
                <w:lang w:val="en-US"/>
              </w:rPr>
            </w:pPr>
            <w:r w:rsidRPr="0048576B">
              <w:rPr>
                <w:rFonts w:ascii="Times New Roman" w:hAnsi="Times New Roman" w:cs="Times New Roman"/>
                <w:lang w:val="en-US"/>
              </w:rPr>
              <w:t>0.8753</w:t>
            </w:r>
          </w:p>
        </w:tc>
      </w:tr>
      <w:tr w:rsidR="00280A98" w14:paraId="49FBD4A5" w14:textId="77777777" w:rsidTr="00280A98">
        <w:tc>
          <w:tcPr>
            <w:tcW w:w="1585" w:type="dxa"/>
          </w:tcPr>
          <w:p w14:paraId="6FA7DC71" w14:textId="65FA8590" w:rsidR="00280A98" w:rsidRPr="0048576B" w:rsidRDefault="00280A98" w:rsidP="0005329B">
            <w:pPr>
              <w:spacing w:after="0"/>
              <w:rPr>
                <w:rFonts w:ascii="Times New Roman" w:hAnsi="Times New Roman" w:cs="Times New Roman"/>
                <w:lang w:val="en-US"/>
              </w:rPr>
            </w:pPr>
            <w:r w:rsidRPr="0048576B">
              <w:rPr>
                <w:rFonts w:ascii="Times New Roman" w:hAnsi="Times New Roman" w:cs="Times New Roman"/>
              </w:rPr>
              <w:t xml:space="preserve">Real GDP per </w:t>
            </w:r>
            <w:proofErr w:type="spellStart"/>
            <w:r w:rsidRPr="0048576B">
              <w:rPr>
                <w:rFonts w:ascii="Times New Roman" w:hAnsi="Times New Roman" w:cs="Times New Roman"/>
              </w:rPr>
              <w:t>capita</w:t>
            </w:r>
            <w:proofErr w:type="spellEnd"/>
            <w:r w:rsidRPr="0048576B">
              <w:rPr>
                <w:rFonts w:ascii="Times New Roman" w:hAnsi="Times New Roman" w:cs="Times New Roman"/>
              </w:rPr>
              <w:t xml:space="preserve"> </w:t>
            </w:r>
            <w:proofErr w:type="spellStart"/>
            <w:r w:rsidRPr="0048576B">
              <w:rPr>
                <w:rFonts w:ascii="Times New Roman" w:hAnsi="Times New Roman" w:cs="Times New Roman"/>
              </w:rPr>
              <w:t>growth</w:t>
            </w:r>
            <w:proofErr w:type="spellEnd"/>
            <w:r w:rsidRPr="0048576B">
              <w:rPr>
                <w:rFonts w:ascii="Times New Roman" w:hAnsi="Times New Roman" w:cs="Times New Roman"/>
              </w:rPr>
              <w:t xml:space="preserve"> – </w:t>
            </w:r>
            <w:proofErr w:type="spellStart"/>
            <w:r w:rsidRPr="0048576B">
              <w:rPr>
                <w:rFonts w:ascii="Times New Roman" w:hAnsi="Times New Roman" w:cs="Times New Roman"/>
              </w:rPr>
              <w:t>average</w:t>
            </w:r>
            <w:proofErr w:type="spellEnd"/>
            <w:r w:rsidRPr="0048576B">
              <w:rPr>
                <w:rFonts w:ascii="Times New Roman" w:hAnsi="Times New Roman" w:cs="Times New Roman"/>
              </w:rPr>
              <w:t xml:space="preserve"> for </w:t>
            </w:r>
            <w:proofErr w:type="spellStart"/>
            <w:r w:rsidRPr="0048576B">
              <w:rPr>
                <w:rFonts w:ascii="Times New Roman" w:hAnsi="Times New Roman" w:cs="Times New Roman"/>
              </w:rPr>
              <w:t>the</w:t>
            </w:r>
            <w:proofErr w:type="spellEnd"/>
            <w:r w:rsidRPr="0048576B">
              <w:rPr>
                <w:rFonts w:ascii="Times New Roman" w:hAnsi="Times New Roman" w:cs="Times New Roman"/>
              </w:rPr>
              <w:t xml:space="preserve"> period 2013–2024</w:t>
            </w:r>
          </w:p>
        </w:tc>
        <w:tc>
          <w:tcPr>
            <w:tcW w:w="1198" w:type="dxa"/>
          </w:tcPr>
          <w:p w14:paraId="15C0C574" w14:textId="71E2D18C" w:rsidR="00280A98" w:rsidRPr="0048576B" w:rsidRDefault="00280A98" w:rsidP="0005329B">
            <w:pPr>
              <w:spacing w:after="0"/>
              <w:rPr>
                <w:rFonts w:ascii="Times New Roman" w:hAnsi="Times New Roman" w:cs="Times New Roman"/>
                <w:lang w:val="en-US"/>
              </w:rPr>
            </w:pPr>
            <w:r w:rsidRPr="0048576B">
              <w:rPr>
                <w:rFonts w:ascii="Times New Roman" w:hAnsi="Times New Roman" w:cs="Times New Roman"/>
                <w:lang w:val="en-US"/>
              </w:rPr>
              <w:t>-0</w:t>
            </w:r>
            <w:r w:rsidR="00472B77" w:rsidRPr="0048576B">
              <w:rPr>
                <w:rFonts w:ascii="Times New Roman" w:hAnsi="Times New Roman" w:cs="Times New Roman"/>
                <w:lang w:val="en-US"/>
              </w:rPr>
              <w:t>.</w:t>
            </w:r>
            <w:r w:rsidRPr="0048576B">
              <w:rPr>
                <w:rFonts w:ascii="Times New Roman" w:hAnsi="Times New Roman" w:cs="Times New Roman"/>
                <w:lang w:val="en-US"/>
              </w:rPr>
              <w:t>2361</w:t>
            </w:r>
          </w:p>
        </w:tc>
        <w:tc>
          <w:tcPr>
            <w:tcW w:w="1199" w:type="dxa"/>
          </w:tcPr>
          <w:p w14:paraId="1F63A3EC" w14:textId="3A2507FF" w:rsidR="00280A98" w:rsidRPr="0048576B" w:rsidRDefault="007A1F6F" w:rsidP="0005329B">
            <w:pPr>
              <w:spacing w:after="0"/>
              <w:rPr>
                <w:rFonts w:ascii="Times New Roman" w:hAnsi="Times New Roman" w:cs="Times New Roman"/>
                <w:lang w:val="en-US"/>
              </w:rPr>
            </w:pPr>
            <w:r w:rsidRPr="0048576B">
              <w:rPr>
                <w:rFonts w:ascii="Times New Roman" w:hAnsi="Times New Roman" w:cs="Times New Roman"/>
                <w:lang w:val="en-US"/>
              </w:rPr>
              <w:t>1</w:t>
            </w:r>
          </w:p>
        </w:tc>
        <w:tc>
          <w:tcPr>
            <w:tcW w:w="1199" w:type="dxa"/>
          </w:tcPr>
          <w:p w14:paraId="4C9451BA" w14:textId="4F5D2786" w:rsidR="00280A98" w:rsidRPr="0048576B" w:rsidRDefault="007A1F6F" w:rsidP="0005329B">
            <w:pPr>
              <w:spacing w:after="0"/>
              <w:rPr>
                <w:rFonts w:ascii="Times New Roman" w:hAnsi="Times New Roman" w:cs="Times New Roman"/>
                <w:lang w:val="en-US"/>
              </w:rPr>
            </w:pPr>
            <w:r w:rsidRPr="0048576B">
              <w:rPr>
                <w:rFonts w:ascii="Times New Roman" w:hAnsi="Times New Roman" w:cs="Times New Roman"/>
                <w:lang w:val="en-US"/>
              </w:rPr>
              <w:t>-0</w:t>
            </w:r>
            <w:r w:rsidR="00472B77" w:rsidRPr="0048576B">
              <w:rPr>
                <w:rFonts w:ascii="Times New Roman" w:hAnsi="Times New Roman" w:cs="Times New Roman"/>
                <w:lang w:val="en-US"/>
              </w:rPr>
              <w:t>.</w:t>
            </w:r>
            <w:r w:rsidRPr="0048576B">
              <w:rPr>
                <w:rFonts w:ascii="Times New Roman" w:hAnsi="Times New Roman" w:cs="Times New Roman"/>
                <w:lang w:val="en-US"/>
              </w:rPr>
              <w:t>0570</w:t>
            </w:r>
          </w:p>
        </w:tc>
        <w:tc>
          <w:tcPr>
            <w:tcW w:w="1199" w:type="dxa"/>
          </w:tcPr>
          <w:p w14:paraId="711020DD" w14:textId="07CCFB54" w:rsidR="00280A98" w:rsidRPr="0048576B" w:rsidRDefault="007A1F6F" w:rsidP="0005329B">
            <w:pPr>
              <w:spacing w:after="0"/>
              <w:rPr>
                <w:rFonts w:ascii="Times New Roman" w:hAnsi="Times New Roman" w:cs="Times New Roman"/>
                <w:lang w:val="en-US"/>
              </w:rPr>
            </w:pPr>
            <w:r w:rsidRPr="0048576B">
              <w:rPr>
                <w:rFonts w:ascii="Times New Roman" w:hAnsi="Times New Roman" w:cs="Times New Roman"/>
                <w:lang w:val="en-US"/>
              </w:rPr>
              <w:t>0</w:t>
            </w:r>
            <w:r w:rsidR="00472B77" w:rsidRPr="0048576B">
              <w:rPr>
                <w:rFonts w:ascii="Times New Roman" w:hAnsi="Times New Roman" w:cs="Times New Roman"/>
                <w:lang w:val="en-US"/>
              </w:rPr>
              <w:t>.</w:t>
            </w:r>
            <w:r w:rsidRPr="0048576B">
              <w:rPr>
                <w:rFonts w:ascii="Times New Roman" w:hAnsi="Times New Roman" w:cs="Times New Roman"/>
                <w:lang w:val="en-US"/>
              </w:rPr>
              <w:t>2144</w:t>
            </w:r>
          </w:p>
        </w:tc>
        <w:tc>
          <w:tcPr>
            <w:tcW w:w="1199" w:type="dxa"/>
          </w:tcPr>
          <w:p w14:paraId="12C9A564" w14:textId="6FEB4942" w:rsidR="00280A98" w:rsidRPr="0048576B" w:rsidRDefault="007A1F6F" w:rsidP="0005329B">
            <w:pPr>
              <w:spacing w:after="0"/>
              <w:rPr>
                <w:rFonts w:ascii="Times New Roman" w:hAnsi="Times New Roman" w:cs="Times New Roman"/>
                <w:lang w:val="en-US"/>
              </w:rPr>
            </w:pPr>
            <w:r w:rsidRPr="0048576B">
              <w:rPr>
                <w:rFonts w:ascii="Times New Roman" w:hAnsi="Times New Roman" w:cs="Times New Roman"/>
                <w:lang w:val="en-US"/>
              </w:rPr>
              <w:t>-0</w:t>
            </w:r>
            <w:r w:rsidR="00472B77" w:rsidRPr="0048576B">
              <w:rPr>
                <w:rFonts w:ascii="Times New Roman" w:hAnsi="Times New Roman" w:cs="Times New Roman"/>
                <w:lang w:val="en-US"/>
              </w:rPr>
              <w:t>.</w:t>
            </w:r>
            <w:r w:rsidRPr="0048576B">
              <w:rPr>
                <w:rFonts w:ascii="Times New Roman" w:hAnsi="Times New Roman" w:cs="Times New Roman"/>
                <w:lang w:val="en-US"/>
              </w:rPr>
              <w:t>2670</w:t>
            </w:r>
          </w:p>
        </w:tc>
        <w:tc>
          <w:tcPr>
            <w:tcW w:w="1199" w:type="dxa"/>
          </w:tcPr>
          <w:p w14:paraId="5CDA9E68" w14:textId="649E72DE" w:rsidR="00280A98" w:rsidRPr="0048576B" w:rsidRDefault="007A1F6F" w:rsidP="0005329B">
            <w:pPr>
              <w:spacing w:after="0"/>
              <w:rPr>
                <w:rFonts w:ascii="Times New Roman" w:hAnsi="Times New Roman" w:cs="Times New Roman"/>
                <w:lang w:val="en-US"/>
              </w:rPr>
            </w:pPr>
            <w:r w:rsidRPr="0048576B">
              <w:rPr>
                <w:rFonts w:ascii="Times New Roman" w:hAnsi="Times New Roman" w:cs="Times New Roman"/>
                <w:lang w:val="en-US"/>
              </w:rPr>
              <w:t>-0</w:t>
            </w:r>
            <w:r w:rsidR="00472B77" w:rsidRPr="0048576B">
              <w:rPr>
                <w:rFonts w:ascii="Times New Roman" w:hAnsi="Times New Roman" w:cs="Times New Roman"/>
                <w:lang w:val="en-US"/>
              </w:rPr>
              <w:t>.</w:t>
            </w:r>
            <w:r w:rsidRPr="0048576B">
              <w:rPr>
                <w:rFonts w:ascii="Times New Roman" w:hAnsi="Times New Roman" w:cs="Times New Roman"/>
                <w:lang w:val="en-US"/>
              </w:rPr>
              <w:t>1066</w:t>
            </w:r>
          </w:p>
        </w:tc>
      </w:tr>
      <w:tr w:rsidR="00280A98" w14:paraId="288003F1" w14:textId="77777777" w:rsidTr="00280A98">
        <w:tc>
          <w:tcPr>
            <w:tcW w:w="1585" w:type="dxa"/>
          </w:tcPr>
          <w:p w14:paraId="5D19A81D" w14:textId="56E2E30B" w:rsidR="00280A98" w:rsidRPr="0048576B" w:rsidRDefault="00280A98" w:rsidP="0005329B">
            <w:pPr>
              <w:spacing w:after="0"/>
              <w:rPr>
                <w:rFonts w:ascii="Times New Roman" w:hAnsi="Times New Roman" w:cs="Times New Roman"/>
                <w:lang w:val="en-US"/>
              </w:rPr>
            </w:pPr>
            <w:proofErr w:type="spellStart"/>
            <w:r w:rsidRPr="0048576B">
              <w:rPr>
                <w:rFonts w:ascii="Times New Roman" w:hAnsi="Times New Roman" w:cs="Times New Roman"/>
              </w:rPr>
              <w:t>Unemployment</w:t>
            </w:r>
            <w:proofErr w:type="spellEnd"/>
            <w:r w:rsidRPr="0048576B">
              <w:rPr>
                <w:rFonts w:ascii="Times New Roman" w:hAnsi="Times New Roman" w:cs="Times New Roman"/>
              </w:rPr>
              <w:t xml:space="preserve"> rate – </w:t>
            </w:r>
            <w:proofErr w:type="spellStart"/>
            <w:r w:rsidRPr="0048576B">
              <w:rPr>
                <w:rFonts w:ascii="Times New Roman" w:hAnsi="Times New Roman" w:cs="Times New Roman"/>
              </w:rPr>
              <w:t>average</w:t>
            </w:r>
            <w:proofErr w:type="spellEnd"/>
            <w:r w:rsidRPr="0048576B">
              <w:rPr>
                <w:rFonts w:ascii="Times New Roman" w:hAnsi="Times New Roman" w:cs="Times New Roman"/>
              </w:rPr>
              <w:t xml:space="preserve"> for </w:t>
            </w:r>
            <w:proofErr w:type="spellStart"/>
            <w:r w:rsidRPr="0048576B">
              <w:rPr>
                <w:rFonts w:ascii="Times New Roman" w:hAnsi="Times New Roman" w:cs="Times New Roman"/>
              </w:rPr>
              <w:t>the</w:t>
            </w:r>
            <w:proofErr w:type="spellEnd"/>
            <w:r w:rsidRPr="0048576B">
              <w:rPr>
                <w:rFonts w:ascii="Times New Roman" w:hAnsi="Times New Roman" w:cs="Times New Roman"/>
              </w:rPr>
              <w:t xml:space="preserve"> period 2013–2024</w:t>
            </w:r>
          </w:p>
        </w:tc>
        <w:tc>
          <w:tcPr>
            <w:tcW w:w="1198" w:type="dxa"/>
          </w:tcPr>
          <w:p w14:paraId="3C534923" w14:textId="46187DE8" w:rsidR="00280A98" w:rsidRPr="0048576B" w:rsidRDefault="00280A98" w:rsidP="0005329B">
            <w:pPr>
              <w:spacing w:after="0"/>
              <w:rPr>
                <w:rFonts w:ascii="Times New Roman" w:hAnsi="Times New Roman" w:cs="Times New Roman"/>
                <w:lang w:val="en-US"/>
              </w:rPr>
            </w:pPr>
            <w:r w:rsidRPr="0048576B">
              <w:rPr>
                <w:rFonts w:ascii="Times New Roman" w:hAnsi="Times New Roman" w:cs="Times New Roman"/>
                <w:lang w:val="en-US"/>
              </w:rPr>
              <w:t>0,0349</w:t>
            </w:r>
          </w:p>
        </w:tc>
        <w:tc>
          <w:tcPr>
            <w:tcW w:w="1199" w:type="dxa"/>
          </w:tcPr>
          <w:p w14:paraId="62298D11" w14:textId="0CB24E10" w:rsidR="00280A98" w:rsidRPr="0048576B" w:rsidRDefault="00472B77" w:rsidP="0005329B">
            <w:pPr>
              <w:spacing w:after="0"/>
              <w:rPr>
                <w:rFonts w:ascii="Times New Roman" w:hAnsi="Times New Roman" w:cs="Times New Roman"/>
                <w:lang w:val="en-US"/>
              </w:rPr>
            </w:pPr>
            <w:r w:rsidRPr="0048576B">
              <w:rPr>
                <w:rFonts w:ascii="Times New Roman" w:hAnsi="Times New Roman" w:cs="Times New Roman"/>
                <w:lang w:val="en-US"/>
              </w:rPr>
              <w:t>-0.0570</w:t>
            </w:r>
          </w:p>
        </w:tc>
        <w:tc>
          <w:tcPr>
            <w:tcW w:w="1199" w:type="dxa"/>
          </w:tcPr>
          <w:p w14:paraId="6F15BEB5" w14:textId="2F697DE7" w:rsidR="00280A98" w:rsidRPr="0048576B" w:rsidRDefault="00472B77" w:rsidP="0005329B">
            <w:pPr>
              <w:spacing w:after="0"/>
              <w:rPr>
                <w:rFonts w:ascii="Times New Roman" w:hAnsi="Times New Roman" w:cs="Times New Roman"/>
                <w:lang w:val="en-US"/>
              </w:rPr>
            </w:pPr>
            <w:r w:rsidRPr="0048576B">
              <w:rPr>
                <w:rFonts w:ascii="Times New Roman" w:hAnsi="Times New Roman" w:cs="Times New Roman"/>
                <w:lang w:val="en-US"/>
              </w:rPr>
              <w:t>1</w:t>
            </w:r>
          </w:p>
        </w:tc>
        <w:tc>
          <w:tcPr>
            <w:tcW w:w="1199" w:type="dxa"/>
          </w:tcPr>
          <w:p w14:paraId="3042176C" w14:textId="78C87397" w:rsidR="00280A98" w:rsidRPr="0048576B" w:rsidRDefault="00472B77" w:rsidP="0005329B">
            <w:pPr>
              <w:spacing w:after="0"/>
              <w:rPr>
                <w:rFonts w:ascii="Times New Roman" w:hAnsi="Times New Roman" w:cs="Times New Roman"/>
                <w:lang w:val="en-US"/>
              </w:rPr>
            </w:pPr>
            <w:r w:rsidRPr="0048576B">
              <w:rPr>
                <w:rFonts w:ascii="Times New Roman" w:hAnsi="Times New Roman" w:cs="Times New Roman"/>
                <w:lang w:val="en-US"/>
              </w:rPr>
              <w:t>-0.4660</w:t>
            </w:r>
          </w:p>
        </w:tc>
        <w:tc>
          <w:tcPr>
            <w:tcW w:w="1199" w:type="dxa"/>
          </w:tcPr>
          <w:p w14:paraId="728952D6" w14:textId="2D9FF575" w:rsidR="00280A98" w:rsidRPr="0048576B" w:rsidRDefault="00472B77" w:rsidP="0005329B">
            <w:pPr>
              <w:spacing w:after="0"/>
              <w:rPr>
                <w:rFonts w:ascii="Times New Roman" w:hAnsi="Times New Roman" w:cs="Times New Roman"/>
                <w:lang w:val="en-US"/>
              </w:rPr>
            </w:pPr>
            <w:r w:rsidRPr="0048576B">
              <w:rPr>
                <w:rFonts w:ascii="Times New Roman" w:hAnsi="Times New Roman" w:cs="Times New Roman"/>
                <w:lang w:val="en-US"/>
              </w:rPr>
              <w:t>-0.3202</w:t>
            </w:r>
          </w:p>
        </w:tc>
        <w:tc>
          <w:tcPr>
            <w:tcW w:w="1199" w:type="dxa"/>
          </w:tcPr>
          <w:p w14:paraId="193BDC52" w14:textId="0F0336D8" w:rsidR="00280A98"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-0.0283</w:t>
            </w:r>
          </w:p>
        </w:tc>
      </w:tr>
      <w:tr w:rsidR="00280A98" w14:paraId="09216838" w14:textId="77777777" w:rsidTr="00280A98">
        <w:tc>
          <w:tcPr>
            <w:tcW w:w="1585" w:type="dxa"/>
          </w:tcPr>
          <w:p w14:paraId="5223F956" w14:textId="592CEEE4" w:rsidR="00280A98" w:rsidRPr="0048576B" w:rsidRDefault="00280A98" w:rsidP="0005329B">
            <w:pPr>
              <w:spacing w:after="0"/>
              <w:rPr>
                <w:rFonts w:ascii="Times New Roman" w:hAnsi="Times New Roman" w:cs="Times New Roman"/>
                <w:lang w:val="en-US"/>
              </w:rPr>
            </w:pPr>
            <w:proofErr w:type="spellStart"/>
            <w:r w:rsidRPr="0048576B">
              <w:rPr>
                <w:rFonts w:ascii="Times New Roman" w:hAnsi="Times New Roman" w:cs="Times New Roman"/>
              </w:rPr>
              <w:t>Share</w:t>
            </w:r>
            <w:proofErr w:type="spellEnd"/>
            <w:r w:rsidRPr="0048576B">
              <w:rPr>
                <w:rFonts w:ascii="Times New Roman" w:hAnsi="Times New Roman" w:cs="Times New Roman"/>
              </w:rPr>
              <w:t xml:space="preserve"> of </w:t>
            </w:r>
            <w:proofErr w:type="spellStart"/>
            <w:r w:rsidRPr="0048576B">
              <w:rPr>
                <w:rFonts w:ascii="Times New Roman" w:hAnsi="Times New Roman" w:cs="Times New Roman"/>
              </w:rPr>
              <w:t>investment</w:t>
            </w:r>
            <w:proofErr w:type="spellEnd"/>
            <w:r w:rsidRPr="0048576B">
              <w:rPr>
                <w:rFonts w:ascii="Times New Roman" w:hAnsi="Times New Roman" w:cs="Times New Roman"/>
              </w:rPr>
              <w:t xml:space="preserve"> – </w:t>
            </w:r>
            <w:proofErr w:type="spellStart"/>
            <w:r w:rsidRPr="0048576B">
              <w:rPr>
                <w:rFonts w:ascii="Times New Roman" w:hAnsi="Times New Roman" w:cs="Times New Roman"/>
              </w:rPr>
              <w:t>average</w:t>
            </w:r>
            <w:proofErr w:type="spellEnd"/>
            <w:r w:rsidRPr="0048576B">
              <w:rPr>
                <w:rFonts w:ascii="Times New Roman" w:hAnsi="Times New Roman" w:cs="Times New Roman"/>
              </w:rPr>
              <w:t xml:space="preserve"> for </w:t>
            </w:r>
            <w:proofErr w:type="spellStart"/>
            <w:r w:rsidRPr="0048576B">
              <w:rPr>
                <w:rFonts w:ascii="Times New Roman" w:hAnsi="Times New Roman" w:cs="Times New Roman"/>
              </w:rPr>
              <w:t>the</w:t>
            </w:r>
            <w:proofErr w:type="spellEnd"/>
            <w:r w:rsidRPr="0048576B">
              <w:rPr>
                <w:rFonts w:ascii="Times New Roman" w:hAnsi="Times New Roman" w:cs="Times New Roman"/>
              </w:rPr>
              <w:t xml:space="preserve"> </w:t>
            </w:r>
            <w:r w:rsidRPr="0048576B">
              <w:rPr>
                <w:rFonts w:ascii="Times New Roman" w:hAnsi="Times New Roman" w:cs="Times New Roman"/>
              </w:rPr>
              <w:lastRenderedPageBreak/>
              <w:t>period 2013–2024</w:t>
            </w:r>
          </w:p>
        </w:tc>
        <w:tc>
          <w:tcPr>
            <w:tcW w:w="1198" w:type="dxa"/>
          </w:tcPr>
          <w:p w14:paraId="49212857" w14:textId="53991263" w:rsidR="00280A98" w:rsidRPr="0048576B" w:rsidRDefault="00280A98" w:rsidP="0005329B">
            <w:pPr>
              <w:spacing w:after="0"/>
              <w:rPr>
                <w:rFonts w:ascii="Times New Roman" w:hAnsi="Times New Roman" w:cs="Times New Roman"/>
                <w:lang w:val="en-US"/>
              </w:rPr>
            </w:pPr>
            <w:r w:rsidRPr="0048576B">
              <w:rPr>
                <w:rFonts w:ascii="Times New Roman" w:hAnsi="Times New Roman" w:cs="Times New Roman"/>
                <w:lang w:val="en-US"/>
              </w:rPr>
              <w:lastRenderedPageBreak/>
              <w:t>-0,3158</w:t>
            </w:r>
          </w:p>
        </w:tc>
        <w:tc>
          <w:tcPr>
            <w:tcW w:w="1199" w:type="dxa"/>
          </w:tcPr>
          <w:p w14:paraId="1815721E" w14:textId="26C54683" w:rsidR="00280A98"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0.2144</w:t>
            </w:r>
          </w:p>
        </w:tc>
        <w:tc>
          <w:tcPr>
            <w:tcW w:w="1199" w:type="dxa"/>
          </w:tcPr>
          <w:p w14:paraId="09C79A94" w14:textId="2A81024D" w:rsidR="00280A98"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-0.4660</w:t>
            </w:r>
          </w:p>
        </w:tc>
        <w:tc>
          <w:tcPr>
            <w:tcW w:w="1199" w:type="dxa"/>
          </w:tcPr>
          <w:p w14:paraId="4981E3A7" w14:textId="324207B6" w:rsidR="00280A98"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1</w:t>
            </w:r>
          </w:p>
        </w:tc>
        <w:tc>
          <w:tcPr>
            <w:tcW w:w="1199" w:type="dxa"/>
          </w:tcPr>
          <w:p w14:paraId="170746E0" w14:textId="34A783FF" w:rsidR="00280A98"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0.3235</w:t>
            </w:r>
          </w:p>
        </w:tc>
        <w:tc>
          <w:tcPr>
            <w:tcW w:w="1199" w:type="dxa"/>
          </w:tcPr>
          <w:p w14:paraId="0D36C49D" w14:textId="5F1EA8A5" w:rsidR="00280A98"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-0.2072</w:t>
            </w:r>
          </w:p>
        </w:tc>
      </w:tr>
      <w:tr w:rsidR="00C959D7" w14:paraId="5DBB9630" w14:textId="77777777" w:rsidTr="00280A98">
        <w:tc>
          <w:tcPr>
            <w:tcW w:w="1585" w:type="dxa"/>
          </w:tcPr>
          <w:p w14:paraId="030BACA1" w14:textId="6DDF79BE" w:rsidR="00C959D7" w:rsidRPr="0048576B" w:rsidRDefault="00C959D7" w:rsidP="0005329B">
            <w:pPr>
              <w:spacing w:after="0"/>
              <w:rPr>
                <w:rFonts w:ascii="Times New Roman" w:hAnsi="Times New Roman" w:cs="Times New Roman"/>
              </w:rPr>
            </w:pPr>
            <w:r w:rsidRPr="0048576B">
              <w:rPr>
                <w:rFonts w:ascii="Times New Roman" w:hAnsi="Times New Roman" w:cs="Times New Roman"/>
              </w:rPr>
              <w:t>Quality-</w:t>
            </w:r>
            <w:proofErr w:type="spellStart"/>
            <w:r w:rsidRPr="0048576B">
              <w:rPr>
                <w:rFonts w:ascii="Times New Roman" w:hAnsi="Times New Roman" w:cs="Times New Roman"/>
              </w:rPr>
              <w:t>Adjusted</w:t>
            </w:r>
            <w:proofErr w:type="spellEnd"/>
            <w:r w:rsidRPr="0048576B">
              <w:rPr>
                <w:rFonts w:ascii="Times New Roman" w:hAnsi="Times New Roman" w:cs="Times New Roman"/>
              </w:rPr>
              <w:t xml:space="preserve"> </w:t>
            </w:r>
            <w:proofErr w:type="spellStart"/>
            <w:r w:rsidRPr="0048576B">
              <w:rPr>
                <w:rFonts w:ascii="Times New Roman" w:hAnsi="Times New Roman" w:cs="Times New Roman"/>
              </w:rPr>
              <w:t>Labour</w:t>
            </w:r>
            <w:proofErr w:type="spellEnd"/>
            <w:r w:rsidRPr="0048576B">
              <w:rPr>
                <w:rFonts w:ascii="Times New Roman" w:hAnsi="Times New Roman" w:cs="Times New Roman"/>
              </w:rPr>
              <w:t xml:space="preserve"> Input (QALI) index – </w:t>
            </w:r>
            <w:proofErr w:type="spellStart"/>
            <w:r w:rsidRPr="0048576B">
              <w:rPr>
                <w:rFonts w:ascii="Times New Roman" w:hAnsi="Times New Roman" w:cs="Times New Roman"/>
              </w:rPr>
              <w:t>average</w:t>
            </w:r>
            <w:proofErr w:type="spellEnd"/>
            <w:r w:rsidRPr="0048576B">
              <w:rPr>
                <w:rFonts w:ascii="Times New Roman" w:hAnsi="Times New Roman" w:cs="Times New Roman"/>
              </w:rPr>
              <w:t xml:space="preserve"> for </w:t>
            </w:r>
            <w:proofErr w:type="spellStart"/>
            <w:r w:rsidRPr="0048576B">
              <w:rPr>
                <w:rFonts w:ascii="Times New Roman" w:hAnsi="Times New Roman" w:cs="Times New Roman"/>
              </w:rPr>
              <w:t>the</w:t>
            </w:r>
            <w:proofErr w:type="spellEnd"/>
            <w:r w:rsidRPr="0048576B">
              <w:rPr>
                <w:rFonts w:ascii="Times New Roman" w:hAnsi="Times New Roman" w:cs="Times New Roman"/>
              </w:rPr>
              <w:t xml:space="preserve"> period 2013–2024</w:t>
            </w:r>
          </w:p>
        </w:tc>
        <w:tc>
          <w:tcPr>
            <w:tcW w:w="1198" w:type="dxa"/>
          </w:tcPr>
          <w:p w14:paraId="71EA48C5" w14:textId="259E5465" w:rsidR="00C959D7" w:rsidRPr="0048576B" w:rsidRDefault="00C959D7" w:rsidP="0005329B">
            <w:pPr>
              <w:spacing w:after="0"/>
              <w:rPr>
                <w:rFonts w:ascii="Times New Roman" w:hAnsi="Times New Roman" w:cs="Times New Roman"/>
                <w:lang w:val="en-US"/>
              </w:rPr>
            </w:pPr>
            <w:r w:rsidRPr="0048576B">
              <w:rPr>
                <w:rFonts w:ascii="Times New Roman" w:hAnsi="Times New Roman" w:cs="Times New Roman"/>
                <w:lang w:val="en-US"/>
              </w:rPr>
              <w:t>0,0958</w:t>
            </w:r>
          </w:p>
        </w:tc>
        <w:tc>
          <w:tcPr>
            <w:tcW w:w="1199" w:type="dxa"/>
          </w:tcPr>
          <w:p w14:paraId="43F694D2" w14:textId="4F34D28C" w:rsidR="00C959D7"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-0.2670</w:t>
            </w:r>
          </w:p>
        </w:tc>
        <w:tc>
          <w:tcPr>
            <w:tcW w:w="1199" w:type="dxa"/>
          </w:tcPr>
          <w:p w14:paraId="65B81261" w14:textId="22C800B0" w:rsidR="00C959D7"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-0.3202</w:t>
            </w:r>
          </w:p>
        </w:tc>
        <w:tc>
          <w:tcPr>
            <w:tcW w:w="1199" w:type="dxa"/>
          </w:tcPr>
          <w:p w14:paraId="61A60820" w14:textId="3BE48726" w:rsidR="00C959D7"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0.3235</w:t>
            </w:r>
          </w:p>
        </w:tc>
        <w:tc>
          <w:tcPr>
            <w:tcW w:w="1199" w:type="dxa"/>
          </w:tcPr>
          <w:p w14:paraId="39929B40" w14:textId="4921A1A8" w:rsidR="00C959D7"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1</w:t>
            </w:r>
          </w:p>
        </w:tc>
        <w:tc>
          <w:tcPr>
            <w:tcW w:w="1199" w:type="dxa"/>
          </w:tcPr>
          <w:p w14:paraId="485AC81B" w14:textId="756A8EF4" w:rsidR="00C959D7"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0.0987</w:t>
            </w:r>
          </w:p>
        </w:tc>
      </w:tr>
      <w:tr w:rsidR="00280A98" w14:paraId="15C01E63" w14:textId="77777777" w:rsidTr="00280A98">
        <w:tc>
          <w:tcPr>
            <w:tcW w:w="1585" w:type="dxa"/>
          </w:tcPr>
          <w:p w14:paraId="6F2BB4EA" w14:textId="4E6B8844" w:rsidR="00280A98" w:rsidRPr="0048576B" w:rsidRDefault="00280A98" w:rsidP="0005329B">
            <w:pPr>
              <w:spacing w:after="0"/>
              <w:rPr>
                <w:rFonts w:ascii="Times New Roman" w:hAnsi="Times New Roman" w:cs="Times New Roman"/>
              </w:rPr>
            </w:pPr>
            <w:r w:rsidRPr="00CA1260">
              <w:rPr>
                <w:rFonts w:ascii="Times New Roman" w:hAnsi="Times New Roman" w:cs="Times New Roman"/>
                <w:color w:val="000000" w:themeColor="text1"/>
              </w:rPr>
              <w:t xml:space="preserve">PPP capital </w:t>
            </w:r>
            <w:proofErr w:type="spellStart"/>
            <w:r w:rsidRPr="00CA1260">
              <w:rPr>
                <w:rFonts w:ascii="Times New Roman" w:hAnsi="Times New Roman" w:cs="Times New Roman"/>
                <w:color w:val="000000" w:themeColor="text1"/>
              </w:rPr>
              <w:t>value</w:t>
            </w:r>
            <w:proofErr w:type="spellEnd"/>
            <w:r w:rsidRPr="00CA1260">
              <w:rPr>
                <w:rFonts w:ascii="Times New Roman" w:hAnsi="Times New Roman" w:cs="Times New Roman"/>
                <w:color w:val="000000" w:themeColor="text1"/>
              </w:rPr>
              <w:t xml:space="preserve">, </w:t>
            </w:r>
            <w:proofErr w:type="spellStart"/>
            <w:r w:rsidRPr="00CA1260">
              <w:rPr>
                <w:rFonts w:ascii="Times New Roman" w:hAnsi="Times New Roman" w:cs="Times New Roman"/>
                <w:color w:val="000000" w:themeColor="text1"/>
              </w:rPr>
              <w:t>average</w:t>
            </w:r>
            <w:proofErr w:type="spellEnd"/>
            <w:r w:rsidRPr="00CA1260">
              <w:rPr>
                <w:rFonts w:ascii="Times New Roman" w:hAnsi="Times New Roman" w:cs="Times New Roman"/>
                <w:color w:val="000000" w:themeColor="text1"/>
              </w:rPr>
              <w:t xml:space="preserve"> for </w:t>
            </w:r>
            <w:proofErr w:type="spellStart"/>
            <w:r w:rsidRPr="00CA1260">
              <w:rPr>
                <w:rFonts w:ascii="Times New Roman" w:hAnsi="Times New Roman" w:cs="Times New Roman"/>
                <w:color w:val="000000" w:themeColor="text1"/>
              </w:rPr>
              <w:t>the</w:t>
            </w:r>
            <w:proofErr w:type="spellEnd"/>
            <w:r w:rsidRPr="00CA1260">
              <w:rPr>
                <w:rFonts w:ascii="Times New Roman" w:hAnsi="Times New Roman" w:cs="Times New Roman"/>
                <w:color w:val="000000" w:themeColor="text1"/>
              </w:rPr>
              <w:t xml:space="preserve"> period 2012–2024</w:t>
            </w:r>
          </w:p>
        </w:tc>
        <w:tc>
          <w:tcPr>
            <w:tcW w:w="1198" w:type="dxa"/>
          </w:tcPr>
          <w:p w14:paraId="7AC8627A" w14:textId="1EF484FB" w:rsidR="00280A98" w:rsidRPr="0048576B" w:rsidRDefault="00C959D7" w:rsidP="0005329B">
            <w:pPr>
              <w:spacing w:after="0"/>
              <w:rPr>
                <w:rFonts w:ascii="Times New Roman" w:hAnsi="Times New Roman" w:cs="Times New Roman"/>
                <w:lang w:val="en-US"/>
              </w:rPr>
            </w:pPr>
            <w:r w:rsidRPr="0048576B">
              <w:rPr>
                <w:rFonts w:ascii="Times New Roman" w:hAnsi="Times New Roman" w:cs="Times New Roman"/>
                <w:lang w:val="en-US"/>
              </w:rPr>
              <w:t>0,8753</w:t>
            </w:r>
          </w:p>
        </w:tc>
        <w:tc>
          <w:tcPr>
            <w:tcW w:w="1199" w:type="dxa"/>
          </w:tcPr>
          <w:p w14:paraId="7476CAB1" w14:textId="633EE3EB" w:rsidR="00280A98"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-0.1066</w:t>
            </w:r>
          </w:p>
        </w:tc>
        <w:tc>
          <w:tcPr>
            <w:tcW w:w="1199" w:type="dxa"/>
          </w:tcPr>
          <w:p w14:paraId="0C4AE98E" w14:textId="3140C628" w:rsidR="00280A98"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-0.0283</w:t>
            </w:r>
          </w:p>
        </w:tc>
        <w:tc>
          <w:tcPr>
            <w:tcW w:w="1199" w:type="dxa"/>
          </w:tcPr>
          <w:p w14:paraId="30EEACCD" w14:textId="2A180DBD" w:rsidR="00280A98"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-0.2072</w:t>
            </w:r>
          </w:p>
        </w:tc>
        <w:tc>
          <w:tcPr>
            <w:tcW w:w="1199" w:type="dxa"/>
          </w:tcPr>
          <w:p w14:paraId="4F680180" w14:textId="4CB52465" w:rsidR="00280A98"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0.0987</w:t>
            </w:r>
          </w:p>
        </w:tc>
        <w:tc>
          <w:tcPr>
            <w:tcW w:w="1199" w:type="dxa"/>
          </w:tcPr>
          <w:p w14:paraId="640E5AD9" w14:textId="5C421420" w:rsidR="00280A98" w:rsidRPr="0048576B" w:rsidRDefault="0048576B" w:rsidP="0005329B">
            <w:pPr>
              <w:spacing w:after="0"/>
              <w:rPr>
                <w:rFonts w:ascii="Times New Roman" w:hAnsi="Times New Roman" w:cs="Times New Roman"/>
                <w:lang w:val="en-US"/>
              </w:rPr>
            </w:pPr>
            <w:r w:rsidRPr="0048576B">
              <w:rPr>
                <w:rFonts w:ascii="Times New Roman" w:hAnsi="Times New Roman" w:cs="Times New Roman"/>
                <w:lang w:val="en-US"/>
              </w:rPr>
              <w:t>1</w:t>
            </w:r>
          </w:p>
        </w:tc>
      </w:tr>
    </w:tbl>
    <w:p w14:paraId="675F1F6A" w14:textId="77777777" w:rsidR="00CE59F4" w:rsidRDefault="00CE59F4" w:rsidP="0005329B">
      <w:pPr>
        <w:widowControl w:val="0"/>
        <w:autoSpaceDE w:val="0"/>
        <w:autoSpaceDN w:val="0"/>
        <w:adjustRightInd w:val="0"/>
        <w:spacing w:after="0" w:line="240" w:lineRule="auto"/>
        <w:jc w:val="both"/>
        <w:rPr>
          <w:rFonts w:ascii="Times New Roman" w:hAnsi="Times New Roman" w:cs="Times New Roman"/>
          <w:i/>
          <w:iCs/>
          <w:sz w:val="21"/>
          <w:szCs w:val="21"/>
          <w:lang w:val="en-US"/>
        </w:rPr>
      </w:pPr>
      <w:proofErr w:type="spellStart"/>
      <w:r w:rsidRPr="00BB2B60">
        <w:rPr>
          <w:rFonts w:ascii="Times New Roman" w:hAnsi="Times New Roman" w:cs="Times New Roman"/>
          <w:i/>
          <w:iCs/>
          <w:sz w:val="21"/>
          <w:szCs w:val="21"/>
        </w:rPr>
        <w:t>Source</w:t>
      </w:r>
      <w:proofErr w:type="spellEnd"/>
      <w:r w:rsidRPr="00BB2B60">
        <w:rPr>
          <w:rFonts w:ascii="Times New Roman" w:hAnsi="Times New Roman" w:cs="Times New Roman"/>
          <w:i/>
          <w:iCs/>
          <w:sz w:val="21"/>
          <w:szCs w:val="21"/>
        </w:rPr>
        <w:t xml:space="preserve">: </w:t>
      </w:r>
      <w:proofErr w:type="spellStart"/>
      <w:r w:rsidRPr="00BB2B60">
        <w:rPr>
          <w:rFonts w:ascii="Times New Roman" w:hAnsi="Times New Roman" w:cs="Times New Roman"/>
          <w:i/>
          <w:iCs/>
          <w:sz w:val="21"/>
          <w:szCs w:val="21"/>
        </w:rPr>
        <w:t>Authors</w:t>
      </w:r>
      <w:proofErr w:type="spellEnd"/>
      <w:r w:rsidRPr="00BB2B60">
        <w:rPr>
          <w:rFonts w:ascii="Times New Roman" w:hAnsi="Times New Roman" w:cs="Times New Roman"/>
          <w:i/>
          <w:iCs/>
          <w:sz w:val="21"/>
          <w:szCs w:val="21"/>
          <w:lang w:val="en-US"/>
        </w:rPr>
        <w:t>’ contribution</w:t>
      </w:r>
      <w:r>
        <w:rPr>
          <w:rFonts w:ascii="Times New Roman" w:hAnsi="Times New Roman" w:cs="Times New Roman"/>
          <w:i/>
          <w:iCs/>
          <w:sz w:val="21"/>
          <w:szCs w:val="21"/>
          <w:lang w:val="en-US"/>
        </w:rPr>
        <w:t>, SPSS processing</w:t>
      </w:r>
    </w:p>
    <w:p w14:paraId="2282894B" w14:textId="77777777" w:rsidR="00A15970" w:rsidRDefault="00A15970" w:rsidP="0005329B">
      <w:pPr>
        <w:spacing w:after="0" w:line="360" w:lineRule="auto"/>
        <w:rPr>
          <w:rFonts w:ascii="Times New Roman" w:hAnsi="Times New Roman" w:cs="Times New Roman"/>
          <w:i/>
          <w:iCs/>
          <w:lang w:val="en-US"/>
        </w:rPr>
      </w:pPr>
    </w:p>
    <w:p w14:paraId="64BCD0E7" w14:textId="38CCC3DB" w:rsidR="00BB2B60" w:rsidRPr="00A15970" w:rsidRDefault="00A15970" w:rsidP="0005329B">
      <w:pPr>
        <w:spacing w:after="0" w:line="360" w:lineRule="auto"/>
        <w:rPr>
          <w:rFonts w:ascii="Times New Roman" w:hAnsi="Times New Roman" w:cs="Times New Roman"/>
          <w:i/>
          <w:iCs/>
          <w:color w:val="000000"/>
        </w:rPr>
      </w:pPr>
      <w:r w:rsidRPr="00A15970">
        <w:rPr>
          <w:rFonts w:ascii="Times New Roman" w:hAnsi="Times New Roman" w:cs="Times New Roman"/>
          <w:i/>
          <w:iCs/>
        </w:rPr>
        <w:t xml:space="preserve">Table </w:t>
      </w:r>
      <w:proofErr w:type="spellStart"/>
      <w:r w:rsidRPr="00A15970">
        <w:rPr>
          <w:rFonts w:ascii="Times New Roman" w:hAnsi="Times New Roman" w:cs="Times New Roman"/>
          <w:i/>
          <w:iCs/>
        </w:rPr>
        <w:t>no</w:t>
      </w:r>
      <w:proofErr w:type="spellEnd"/>
      <w:r w:rsidRPr="00A15970">
        <w:rPr>
          <w:rFonts w:ascii="Times New Roman" w:hAnsi="Times New Roman" w:cs="Times New Roman"/>
          <w:i/>
          <w:iCs/>
        </w:rPr>
        <w:t xml:space="preserve">. </w:t>
      </w:r>
      <w:r>
        <w:rPr>
          <w:rFonts w:ascii="Times New Roman" w:hAnsi="Times New Roman" w:cs="Times New Roman"/>
          <w:i/>
          <w:iCs/>
        </w:rPr>
        <w:t xml:space="preserve">5 </w:t>
      </w:r>
      <w:proofErr w:type="spellStart"/>
      <w:r w:rsidRPr="00CE59F4">
        <w:rPr>
          <w:rFonts w:ascii="Times New Roman" w:hAnsi="Times New Roman" w:cs="Times New Roman"/>
          <w:i/>
          <w:iCs/>
          <w:color w:val="000000"/>
        </w:rPr>
        <w:t>Analysis</w:t>
      </w:r>
      <w:proofErr w:type="spellEnd"/>
      <w:r w:rsidRPr="00CE59F4">
        <w:rPr>
          <w:rFonts w:ascii="Times New Roman" w:hAnsi="Times New Roman" w:cs="Times New Roman"/>
          <w:i/>
          <w:iCs/>
          <w:color w:val="000000"/>
        </w:rPr>
        <w:t xml:space="preserve"> of </w:t>
      </w:r>
      <w:proofErr w:type="spellStart"/>
      <w:r w:rsidRPr="00CE59F4">
        <w:rPr>
          <w:rFonts w:ascii="Times New Roman" w:hAnsi="Times New Roman" w:cs="Times New Roman"/>
          <w:i/>
          <w:iCs/>
          <w:color w:val="000000"/>
        </w:rPr>
        <w:t>varianc</w:t>
      </w:r>
      <w:r>
        <w:rPr>
          <w:rFonts w:ascii="Times New Roman" w:hAnsi="Times New Roman" w:cs="Times New Roman"/>
          <w:i/>
          <w:iCs/>
          <w:color w:val="000000"/>
        </w:rPr>
        <w:t>e</w:t>
      </w:r>
      <w:proofErr w:type="spellEnd"/>
      <w:r>
        <w:rPr>
          <w:rFonts w:ascii="Times New Roman" w:hAnsi="Times New Roman" w:cs="Times New Roman"/>
          <w:i/>
          <w:iCs/>
          <w:color w:val="000000"/>
        </w:rPr>
        <w:t>,</w:t>
      </w:r>
      <w:r w:rsidRPr="00A15970">
        <w:rPr>
          <w:rFonts w:ascii="Times New Roman" w:hAnsi="Times New Roman" w:cs="Times New Roman"/>
          <w:i/>
          <w:iCs/>
        </w:rPr>
        <w:t xml:space="preserve"> </w:t>
      </w:r>
      <w:r w:rsidR="00CE59F4" w:rsidRPr="00A15970">
        <w:rPr>
          <w:rFonts w:ascii="Times New Roman" w:hAnsi="Times New Roman" w:cs="Times New Roman"/>
          <w:i/>
          <w:iCs/>
        </w:rPr>
        <w:t xml:space="preserve">PPP capital </w:t>
      </w:r>
      <w:proofErr w:type="spellStart"/>
      <w:r w:rsidR="00CE59F4" w:rsidRPr="00A15970">
        <w:rPr>
          <w:rFonts w:ascii="Times New Roman" w:hAnsi="Times New Roman" w:cs="Times New Roman"/>
          <w:i/>
          <w:iCs/>
        </w:rPr>
        <w:t>value</w:t>
      </w:r>
      <w:proofErr w:type="spellEnd"/>
      <w:r w:rsidR="00CE59F4" w:rsidRPr="00A15970">
        <w:rPr>
          <w:rFonts w:ascii="Times New Roman" w:hAnsi="Times New Roman" w:cs="Times New Roman"/>
          <w:i/>
          <w:iCs/>
        </w:rPr>
        <w:t xml:space="preserve">, cumulative for </w:t>
      </w:r>
      <w:proofErr w:type="spellStart"/>
      <w:r w:rsidR="00CE59F4" w:rsidRPr="00A15970">
        <w:rPr>
          <w:rFonts w:ascii="Times New Roman" w:hAnsi="Times New Roman" w:cs="Times New Roman"/>
          <w:i/>
          <w:iCs/>
        </w:rPr>
        <w:t>the</w:t>
      </w:r>
      <w:proofErr w:type="spellEnd"/>
      <w:r w:rsidR="00CE59F4" w:rsidRPr="00A15970">
        <w:rPr>
          <w:rFonts w:ascii="Times New Roman" w:hAnsi="Times New Roman" w:cs="Times New Roman"/>
          <w:i/>
          <w:iCs/>
        </w:rPr>
        <w:t xml:space="preserve"> period 2012–2024</w:t>
      </w:r>
    </w:p>
    <w:tbl>
      <w:tblPr>
        <w:tblStyle w:val="TableGrid"/>
        <w:tblW w:w="0" w:type="auto"/>
        <w:tblLook w:val="04A0" w:firstRow="1" w:lastRow="0" w:firstColumn="1" w:lastColumn="0" w:noHBand="0" w:noVBand="1"/>
      </w:tblPr>
      <w:tblGrid>
        <w:gridCol w:w="2584"/>
        <w:gridCol w:w="938"/>
        <w:gridCol w:w="919"/>
        <w:gridCol w:w="1042"/>
        <w:gridCol w:w="1064"/>
        <w:gridCol w:w="2231"/>
      </w:tblGrid>
      <w:tr w:rsidR="008868C4" w14:paraId="35882E00" w14:textId="07F1785A" w:rsidTr="008868C4">
        <w:trPr>
          <w:trHeight w:val="529"/>
        </w:trPr>
        <w:tc>
          <w:tcPr>
            <w:tcW w:w="2584" w:type="dxa"/>
          </w:tcPr>
          <w:p w14:paraId="08E6E0E0" w14:textId="4E6A378A" w:rsidR="008868C4" w:rsidRDefault="008868C4" w:rsidP="0005329B">
            <w:pPr>
              <w:spacing w:after="0" w:line="360" w:lineRule="auto"/>
              <w:jc w:val="both"/>
              <w:rPr>
                <w:rFonts w:ascii="Times New Roman" w:hAnsi="Times New Roman" w:cs="Times New Roman"/>
              </w:rPr>
            </w:pPr>
            <w:proofErr w:type="spellStart"/>
            <w:r>
              <w:rPr>
                <w:rFonts w:ascii="Times New Roman" w:hAnsi="Times New Roman" w:cs="Times New Roman"/>
              </w:rPr>
              <w:t>Source</w:t>
            </w:r>
            <w:proofErr w:type="spellEnd"/>
          </w:p>
        </w:tc>
        <w:tc>
          <w:tcPr>
            <w:tcW w:w="938" w:type="dxa"/>
          </w:tcPr>
          <w:p w14:paraId="1C4DB137" w14:textId="1BE7D779" w:rsidR="008868C4" w:rsidRDefault="008868C4" w:rsidP="0005329B">
            <w:pPr>
              <w:spacing w:after="0" w:line="360" w:lineRule="auto"/>
              <w:jc w:val="both"/>
              <w:rPr>
                <w:rFonts w:ascii="Times New Roman" w:hAnsi="Times New Roman" w:cs="Times New Roman"/>
              </w:rPr>
            </w:pPr>
            <w:r>
              <w:rPr>
                <w:rFonts w:ascii="Times New Roman" w:hAnsi="Times New Roman" w:cs="Times New Roman"/>
              </w:rPr>
              <w:t>DF</w:t>
            </w:r>
          </w:p>
        </w:tc>
        <w:tc>
          <w:tcPr>
            <w:tcW w:w="919" w:type="dxa"/>
          </w:tcPr>
          <w:p w14:paraId="6B945B87" w14:textId="5FCD1F3A" w:rsidR="008868C4" w:rsidRDefault="008868C4" w:rsidP="0005329B">
            <w:pPr>
              <w:spacing w:after="0" w:line="360" w:lineRule="auto"/>
              <w:jc w:val="both"/>
              <w:rPr>
                <w:rFonts w:ascii="Times New Roman" w:hAnsi="Times New Roman" w:cs="Times New Roman"/>
              </w:rPr>
            </w:pPr>
            <w:proofErr w:type="spellStart"/>
            <w:r>
              <w:rPr>
                <w:rFonts w:ascii="Times New Roman" w:hAnsi="Times New Roman" w:cs="Times New Roman"/>
              </w:rPr>
              <w:t>Sum</w:t>
            </w:r>
            <w:proofErr w:type="spellEnd"/>
            <w:r>
              <w:rPr>
                <w:rFonts w:ascii="Times New Roman" w:hAnsi="Times New Roman" w:cs="Times New Roman"/>
              </w:rPr>
              <w:t xml:space="preserve"> of </w:t>
            </w:r>
            <w:proofErr w:type="spellStart"/>
            <w:r>
              <w:rPr>
                <w:rFonts w:ascii="Times New Roman" w:hAnsi="Times New Roman" w:cs="Times New Roman"/>
              </w:rPr>
              <w:t>square</w:t>
            </w:r>
            <w:proofErr w:type="spellEnd"/>
          </w:p>
        </w:tc>
        <w:tc>
          <w:tcPr>
            <w:tcW w:w="1042" w:type="dxa"/>
          </w:tcPr>
          <w:p w14:paraId="53330CFD" w14:textId="66CC7E6D" w:rsidR="008868C4" w:rsidRDefault="008868C4" w:rsidP="0005329B">
            <w:pPr>
              <w:spacing w:after="0" w:line="360" w:lineRule="auto"/>
              <w:jc w:val="both"/>
              <w:rPr>
                <w:rFonts w:ascii="Times New Roman" w:hAnsi="Times New Roman" w:cs="Times New Roman"/>
              </w:rPr>
            </w:pPr>
            <w:proofErr w:type="spellStart"/>
            <w:r>
              <w:rPr>
                <w:rFonts w:ascii="Times New Roman" w:hAnsi="Times New Roman" w:cs="Times New Roman"/>
              </w:rPr>
              <w:t>Mean</w:t>
            </w:r>
            <w:proofErr w:type="spellEnd"/>
            <w:r>
              <w:rPr>
                <w:rFonts w:ascii="Times New Roman" w:hAnsi="Times New Roman" w:cs="Times New Roman"/>
              </w:rPr>
              <w:t xml:space="preserve"> </w:t>
            </w:r>
            <w:proofErr w:type="spellStart"/>
            <w:r>
              <w:rPr>
                <w:rFonts w:ascii="Times New Roman" w:hAnsi="Times New Roman" w:cs="Times New Roman"/>
              </w:rPr>
              <w:t>square</w:t>
            </w:r>
            <w:proofErr w:type="spellEnd"/>
          </w:p>
        </w:tc>
        <w:tc>
          <w:tcPr>
            <w:tcW w:w="1064" w:type="dxa"/>
          </w:tcPr>
          <w:p w14:paraId="13BF400E" w14:textId="01451B40" w:rsidR="008868C4" w:rsidRDefault="008868C4" w:rsidP="0005329B">
            <w:pPr>
              <w:spacing w:after="0" w:line="360" w:lineRule="auto"/>
              <w:jc w:val="both"/>
              <w:rPr>
                <w:rFonts w:ascii="Times New Roman" w:hAnsi="Times New Roman" w:cs="Times New Roman"/>
              </w:rPr>
            </w:pPr>
            <w:r>
              <w:rPr>
                <w:rFonts w:ascii="Times New Roman" w:hAnsi="Times New Roman" w:cs="Times New Roman"/>
              </w:rPr>
              <w:t>F</w:t>
            </w:r>
          </w:p>
        </w:tc>
        <w:tc>
          <w:tcPr>
            <w:tcW w:w="2231" w:type="dxa"/>
          </w:tcPr>
          <w:p w14:paraId="55A2D01D" w14:textId="1AA3D21A" w:rsidR="008868C4" w:rsidRPr="001C61C8" w:rsidRDefault="008868C4" w:rsidP="0005329B">
            <w:pPr>
              <w:spacing w:after="0" w:line="360" w:lineRule="auto"/>
              <w:jc w:val="both"/>
              <w:rPr>
                <w:rFonts w:ascii="Times New Roman" w:hAnsi="Times New Roman" w:cs="Times New Roman"/>
              </w:rPr>
            </w:pPr>
            <w:r>
              <w:rPr>
                <w:rFonts w:ascii="Times New Roman" w:hAnsi="Times New Roman" w:cs="Times New Roman"/>
              </w:rPr>
              <w:t>Pr &gt; F</w:t>
            </w:r>
          </w:p>
        </w:tc>
      </w:tr>
      <w:tr w:rsidR="008868C4" w14:paraId="3D93BB6D" w14:textId="644F49D2" w:rsidTr="008868C4">
        <w:trPr>
          <w:trHeight w:val="263"/>
        </w:trPr>
        <w:tc>
          <w:tcPr>
            <w:tcW w:w="2584" w:type="dxa"/>
          </w:tcPr>
          <w:p w14:paraId="44597577" w14:textId="0FE16AFF" w:rsidR="008868C4" w:rsidRDefault="008868C4" w:rsidP="0005329B">
            <w:pPr>
              <w:spacing w:after="0" w:line="360" w:lineRule="auto"/>
              <w:jc w:val="both"/>
              <w:rPr>
                <w:rFonts w:ascii="Times New Roman" w:hAnsi="Times New Roman" w:cs="Times New Roman"/>
              </w:rPr>
            </w:pPr>
            <w:r>
              <w:rPr>
                <w:rFonts w:ascii="Times New Roman" w:hAnsi="Times New Roman" w:cs="Times New Roman"/>
              </w:rPr>
              <w:t>Model</w:t>
            </w:r>
          </w:p>
        </w:tc>
        <w:tc>
          <w:tcPr>
            <w:tcW w:w="938" w:type="dxa"/>
          </w:tcPr>
          <w:p w14:paraId="36FC2A4D" w14:textId="63E6C534" w:rsidR="008868C4" w:rsidRDefault="008868C4" w:rsidP="0005329B">
            <w:pPr>
              <w:spacing w:after="0" w:line="360" w:lineRule="auto"/>
              <w:jc w:val="both"/>
              <w:rPr>
                <w:rFonts w:ascii="Times New Roman" w:hAnsi="Times New Roman" w:cs="Times New Roman"/>
              </w:rPr>
            </w:pPr>
            <w:r>
              <w:rPr>
                <w:rFonts w:ascii="Times New Roman" w:hAnsi="Times New Roman" w:cs="Times New Roman"/>
              </w:rPr>
              <w:t>5</w:t>
            </w:r>
          </w:p>
        </w:tc>
        <w:tc>
          <w:tcPr>
            <w:tcW w:w="919" w:type="dxa"/>
          </w:tcPr>
          <w:p w14:paraId="02EF9E2C" w14:textId="2DADA936" w:rsidR="008868C4" w:rsidRDefault="008868C4" w:rsidP="0005329B">
            <w:pPr>
              <w:spacing w:after="0" w:line="360" w:lineRule="auto"/>
              <w:jc w:val="both"/>
              <w:rPr>
                <w:rFonts w:ascii="Times New Roman" w:hAnsi="Times New Roman" w:cs="Times New Roman"/>
              </w:rPr>
            </w:pPr>
            <w:r>
              <w:rPr>
                <w:rFonts w:ascii="Times New Roman" w:hAnsi="Times New Roman" w:cs="Times New Roman"/>
              </w:rPr>
              <w:t>0.8476</w:t>
            </w:r>
          </w:p>
        </w:tc>
        <w:tc>
          <w:tcPr>
            <w:tcW w:w="1042" w:type="dxa"/>
          </w:tcPr>
          <w:p w14:paraId="7BF5CBF6" w14:textId="7013417D" w:rsidR="008868C4" w:rsidRDefault="008868C4" w:rsidP="0005329B">
            <w:pPr>
              <w:spacing w:after="0" w:line="360" w:lineRule="auto"/>
              <w:jc w:val="both"/>
              <w:rPr>
                <w:rFonts w:ascii="Times New Roman" w:hAnsi="Times New Roman" w:cs="Times New Roman"/>
              </w:rPr>
            </w:pPr>
            <w:r>
              <w:rPr>
                <w:rFonts w:ascii="Times New Roman" w:hAnsi="Times New Roman" w:cs="Times New Roman"/>
              </w:rPr>
              <w:t>0.1695</w:t>
            </w:r>
          </w:p>
        </w:tc>
        <w:tc>
          <w:tcPr>
            <w:tcW w:w="1064" w:type="dxa"/>
          </w:tcPr>
          <w:p w14:paraId="58E93B84" w14:textId="694BE944" w:rsidR="008868C4" w:rsidRDefault="008868C4" w:rsidP="0005329B">
            <w:pPr>
              <w:spacing w:after="0" w:line="360" w:lineRule="auto"/>
              <w:jc w:val="both"/>
              <w:rPr>
                <w:rFonts w:ascii="Times New Roman" w:hAnsi="Times New Roman" w:cs="Times New Roman"/>
              </w:rPr>
            </w:pPr>
            <w:r>
              <w:rPr>
                <w:rFonts w:ascii="Times New Roman" w:hAnsi="Times New Roman" w:cs="Times New Roman"/>
              </w:rPr>
              <w:t>15.7052</w:t>
            </w:r>
          </w:p>
        </w:tc>
        <w:tc>
          <w:tcPr>
            <w:tcW w:w="2231" w:type="dxa"/>
            <w:vMerge w:val="restart"/>
          </w:tcPr>
          <w:p w14:paraId="50CFE4EB" w14:textId="6FBBC841" w:rsidR="008868C4" w:rsidRPr="008868C4" w:rsidRDefault="008868C4" w:rsidP="0005329B">
            <w:pPr>
              <w:spacing w:after="0" w:line="360" w:lineRule="auto"/>
              <w:jc w:val="both"/>
              <w:rPr>
                <w:rFonts w:ascii="Times New Roman" w:hAnsi="Times New Roman" w:cs="Times New Roman"/>
                <w:lang w:val="en-US"/>
              </w:rPr>
            </w:pPr>
            <w:r>
              <w:rPr>
                <w:rFonts w:ascii="Times New Roman" w:hAnsi="Times New Roman" w:cs="Times New Roman"/>
                <w:lang w:val="en-US"/>
              </w:rPr>
              <w:t>&lt;0.0001</w:t>
            </w:r>
          </w:p>
        </w:tc>
      </w:tr>
      <w:tr w:rsidR="008868C4" w14:paraId="31898E33" w14:textId="6592B79F" w:rsidTr="008868C4">
        <w:trPr>
          <w:trHeight w:val="305"/>
        </w:trPr>
        <w:tc>
          <w:tcPr>
            <w:tcW w:w="2584" w:type="dxa"/>
          </w:tcPr>
          <w:p w14:paraId="1883C431" w14:textId="6A34A618" w:rsidR="008868C4" w:rsidRDefault="008868C4" w:rsidP="0005329B">
            <w:pPr>
              <w:spacing w:after="0" w:line="360" w:lineRule="auto"/>
              <w:jc w:val="both"/>
              <w:rPr>
                <w:rFonts w:ascii="Times New Roman" w:hAnsi="Times New Roman" w:cs="Times New Roman"/>
              </w:rPr>
            </w:pPr>
            <w:proofErr w:type="spellStart"/>
            <w:r>
              <w:rPr>
                <w:rFonts w:ascii="Times New Roman" w:hAnsi="Times New Roman" w:cs="Times New Roman"/>
              </w:rPr>
              <w:t>Error</w:t>
            </w:r>
            <w:proofErr w:type="spellEnd"/>
          </w:p>
        </w:tc>
        <w:tc>
          <w:tcPr>
            <w:tcW w:w="938" w:type="dxa"/>
          </w:tcPr>
          <w:p w14:paraId="120A3B75" w14:textId="4CBBF771" w:rsidR="008868C4" w:rsidRDefault="008868C4" w:rsidP="0005329B">
            <w:pPr>
              <w:spacing w:after="0" w:line="360" w:lineRule="auto"/>
              <w:jc w:val="both"/>
              <w:rPr>
                <w:rFonts w:ascii="Times New Roman" w:hAnsi="Times New Roman" w:cs="Times New Roman"/>
              </w:rPr>
            </w:pPr>
            <w:r>
              <w:rPr>
                <w:rFonts w:ascii="Times New Roman" w:hAnsi="Times New Roman" w:cs="Times New Roman"/>
              </w:rPr>
              <w:t>22</w:t>
            </w:r>
          </w:p>
        </w:tc>
        <w:tc>
          <w:tcPr>
            <w:tcW w:w="919" w:type="dxa"/>
          </w:tcPr>
          <w:p w14:paraId="2D97BF10" w14:textId="15522220" w:rsidR="008868C4" w:rsidRDefault="008868C4" w:rsidP="0005329B">
            <w:pPr>
              <w:spacing w:after="0" w:line="360" w:lineRule="auto"/>
              <w:jc w:val="both"/>
              <w:rPr>
                <w:rFonts w:ascii="Times New Roman" w:hAnsi="Times New Roman" w:cs="Times New Roman"/>
              </w:rPr>
            </w:pPr>
            <w:r>
              <w:rPr>
                <w:rFonts w:ascii="Times New Roman" w:hAnsi="Times New Roman" w:cs="Times New Roman"/>
              </w:rPr>
              <w:t>0.2375</w:t>
            </w:r>
          </w:p>
        </w:tc>
        <w:tc>
          <w:tcPr>
            <w:tcW w:w="1042" w:type="dxa"/>
          </w:tcPr>
          <w:p w14:paraId="21EC6A2B" w14:textId="11E536C5" w:rsidR="008868C4" w:rsidRDefault="008868C4" w:rsidP="0005329B">
            <w:pPr>
              <w:spacing w:after="0" w:line="360" w:lineRule="auto"/>
              <w:jc w:val="both"/>
              <w:rPr>
                <w:rFonts w:ascii="Times New Roman" w:hAnsi="Times New Roman" w:cs="Times New Roman"/>
              </w:rPr>
            </w:pPr>
            <w:r>
              <w:rPr>
                <w:rFonts w:ascii="Times New Roman" w:hAnsi="Times New Roman" w:cs="Times New Roman"/>
              </w:rPr>
              <w:t>0.0108</w:t>
            </w:r>
          </w:p>
        </w:tc>
        <w:tc>
          <w:tcPr>
            <w:tcW w:w="1064" w:type="dxa"/>
          </w:tcPr>
          <w:p w14:paraId="74B89715" w14:textId="1F9E95FA" w:rsidR="008868C4" w:rsidRDefault="008868C4" w:rsidP="0005329B">
            <w:pPr>
              <w:spacing w:after="0" w:line="360" w:lineRule="auto"/>
              <w:jc w:val="both"/>
              <w:rPr>
                <w:rFonts w:ascii="Times New Roman" w:hAnsi="Times New Roman" w:cs="Times New Roman"/>
              </w:rPr>
            </w:pPr>
          </w:p>
        </w:tc>
        <w:tc>
          <w:tcPr>
            <w:tcW w:w="2231" w:type="dxa"/>
            <w:vMerge/>
          </w:tcPr>
          <w:p w14:paraId="489B333E" w14:textId="77777777" w:rsidR="008868C4" w:rsidRDefault="008868C4" w:rsidP="0005329B">
            <w:pPr>
              <w:spacing w:after="0" w:line="360" w:lineRule="auto"/>
              <w:jc w:val="both"/>
              <w:rPr>
                <w:rFonts w:ascii="Times New Roman" w:hAnsi="Times New Roman" w:cs="Times New Roman"/>
              </w:rPr>
            </w:pPr>
          </w:p>
        </w:tc>
      </w:tr>
      <w:tr w:rsidR="008868C4" w14:paraId="06AAE87C" w14:textId="6236C05D" w:rsidTr="008868C4">
        <w:trPr>
          <w:trHeight w:val="319"/>
        </w:trPr>
        <w:tc>
          <w:tcPr>
            <w:tcW w:w="2584" w:type="dxa"/>
          </w:tcPr>
          <w:p w14:paraId="5F1D5E5F" w14:textId="1AC9F2D6" w:rsidR="008868C4" w:rsidRDefault="008868C4" w:rsidP="0005329B">
            <w:pPr>
              <w:spacing w:after="0" w:line="360" w:lineRule="auto"/>
              <w:jc w:val="both"/>
              <w:rPr>
                <w:rFonts w:ascii="Times New Roman" w:hAnsi="Times New Roman" w:cs="Times New Roman"/>
              </w:rPr>
            </w:pPr>
            <w:proofErr w:type="spellStart"/>
            <w:r>
              <w:rPr>
                <w:rFonts w:ascii="Times New Roman" w:hAnsi="Times New Roman" w:cs="Times New Roman"/>
              </w:rPr>
              <w:t>Corrected</w:t>
            </w:r>
            <w:proofErr w:type="spellEnd"/>
            <w:r>
              <w:rPr>
                <w:rFonts w:ascii="Times New Roman" w:hAnsi="Times New Roman" w:cs="Times New Roman"/>
              </w:rPr>
              <w:t xml:space="preserve"> Total</w:t>
            </w:r>
          </w:p>
        </w:tc>
        <w:tc>
          <w:tcPr>
            <w:tcW w:w="938" w:type="dxa"/>
          </w:tcPr>
          <w:p w14:paraId="04BA480B" w14:textId="2EC03214" w:rsidR="008868C4" w:rsidRDefault="008868C4" w:rsidP="0005329B">
            <w:pPr>
              <w:spacing w:after="0" w:line="360" w:lineRule="auto"/>
              <w:jc w:val="both"/>
              <w:rPr>
                <w:rFonts w:ascii="Times New Roman" w:hAnsi="Times New Roman" w:cs="Times New Roman"/>
              </w:rPr>
            </w:pPr>
            <w:r>
              <w:rPr>
                <w:rFonts w:ascii="Times New Roman" w:hAnsi="Times New Roman" w:cs="Times New Roman"/>
              </w:rPr>
              <w:t>27</w:t>
            </w:r>
          </w:p>
        </w:tc>
        <w:tc>
          <w:tcPr>
            <w:tcW w:w="919" w:type="dxa"/>
          </w:tcPr>
          <w:p w14:paraId="796A8630" w14:textId="4AD30924" w:rsidR="008868C4" w:rsidRDefault="008868C4" w:rsidP="0005329B">
            <w:pPr>
              <w:spacing w:after="0" w:line="360" w:lineRule="auto"/>
              <w:jc w:val="both"/>
              <w:rPr>
                <w:rFonts w:ascii="Times New Roman" w:hAnsi="Times New Roman" w:cs="Times New Roman"/>
              </w:rPr>
            </w:pPr>
            <w:r>
              <w:rPr>
                <w:rFonts w:ascii="Times New Roman" w:hAnsi="Times New Roman" w:cs="Times New Roman"/>
              </w:rPr>
              <w:t>1.0851</w:t>
            </w:r>
          </w:p>
        </w:tc>
        <w:tc>
          <w:tcPr>
            <w:tcW w:w="1042" w:type="dxa"/>
          </w:tcPr>
          <w:p w14:paraId="0EF93281" w14:textId="77777777" w:rsidR="008868C4" w:rsidRDefault="008868C4" w:rsidP="0005329B">
            <w:pPr>
              <w:spacing w:after="0" w:line="360" w:lineRule="auto"/>
              <w:jc w:val="both"/>
              <w:rPr>
                <w:rFonts w:ascii="Times New Roman" w:hAnsi="Times New Roman" w:cs="Times New Roman"/>
              </w:rPr>
            </w:pPr>
          </w:p>
        </w:tc>
        <w:tc>
          <w:tcPr>
            <w:tcW w:w="1064" w:type="dxa"/>
          </w:tcPr>
          <w:p w14:paraId="53795F87" w14:textId="05B1BF01" w:rsidR="008868C4" w:rsidRDefault="008868C4" w:rsidP="0005329B">
            <w:pPr>
              <w:spacing w:after="0" w:line="360" w:lineRule="auto"/>
              <w:jc w:val="both"/>
              <w:rPr>
                <w:rFonts w:ascii="Times New Roman" w:hAnsi="Times New Roman" w:cs="Times New Roman"/>
              </w:rPr>
            </w:pPr>
          </w:p>
        </w:tc>
        <w:tc>
          <w:tcPr>
            <w:tcW w:w="2231" w:type="dxa"/>
            <w:vMerge/>
          </w:tcPr>
          <w:p w14:paraId="697E9516" w14:textId="77777777" w:rsidR="008868C4" w:rsidRDefault="008868C4" w:rsidP="0005329B">
            <w:pPr>
              <w:spacing w:after="0" w:line="360" w:lineRule="auto"/>
              <w:jc w:val="both"/>
              <w:rPr>
                <w:rFonts w:ascii="Times New Roman" w:hAnsi="Times New Roman" w:cs="Times New Roman"/>
              </w:rPr>
            </w:pPr>
          </w:p>
        </w:tc>
      </w:tr>
    </w:tbl>
    <w:p w14:paraId="1E832AED" w14:textId="1638B884" w:rsidR="00CE59F4" w:rsidRPr="008868C4" w:rsidRDefault="008868C4" w:rsidP="0005329B">
      <w:pPr>
        <w:spacing w:after="0" w:line="360" w:lineRule="auto"/>
        <w:jc w:val="both"/>
        <w:rPr>
          <w:rFonts w:ascii="Times New Roman" w:hAnsi="Times New Roman" w:cs="Times New Roman"/>
          <w:i/>
          <w:iCs/>
        </w:rPr>
      </w:pPr>
      <w:proofErr w:type="spellStart"/>
      <w:r w:rsidRPr="00BB2B60">
        <w:rPr>
          <w:rFonts w:ascii="Times New Roman" w:hAnsi="Times New Roman" w:cs="Times New Roman"/>
          <w:i/>
          <w:iCs/>
          <w:sz w:val="21"/>
          <w:szCs w:val="21"/>
        </w:rPr>
        <w:t>Source</w:t>
      </w:r>
      <w:proofErr w:type="spellEnd"/>
      <w:r w:rsidRPr="00BB2B60">
        <w:rPr>
          <w:rFonts w:ascii="Times New Roman" w:hAnsi="Times New Roman" w:cs="Times New Roman"/>
          <w:i/>
          <w:iCs/>
          <w:sz w:val="21"/>
          <w:szCs w:val="21"/>
        </w:rPr>
        <w:t xml:space="preserve">: </w:t>
      </w:r>
      <w:proofErr w:type="spellStart"/>
      <w:r w:rsidR="001C61C8" w:rsidRPr="008868C4">
        <w:rPr>
          <w:rFonts w:ascii="Times New Roman" w:hAnsi="Times New Roman" w:cs="Times New Roman"/>
          <w:i/>
          <w:iCs/>
        </w:rPr>
        <w:t>Calculation</w:t>
      </w:r>
      <w:proofErr w:type="spellEnd"/>
      <w:r w:rsidR="001C61C8" w:rsidRPr="008868C4">
        <w:rPr>
          <w:rFonts w:ascii="Times New Roman" w:hAnsi="Times New Roman" w:cs="Times New Roman"/>
          <w:i/>
          <w:iCs/>
        </w:rPr>
        <w:t xml:space="preserve"> relative </w:t>
      </w:r>
      <w:proofErr w:type="spellStart"/>
      <w:r w:rsidR="001C61C8" w:rsidRPr="008868C4">
        <w:rPr>
          <w:rFonts w:ascii="Times New Roman" w:hAnsi="Times New Roman" w:cs="Times New Roman"/>
          <w:i/>
          <w:iCs/>
        </w:rPr>
        <w:t>to</w:t>
      </w:r>
      <w:proofErr w:type="spellEnd"/>
      <w:r w:rsidR="001C61C8" w:rsidRPr="008868C4">
        <w:rPr>
          <w:rFonts w:ascii="Times New Roman" w:hAnsi="Times New Roman" w:cs="Times New Roman"/>
          <w:i/>
          <w:iCs/>
        </w:rPr>
        <w:t xml:space="preserve"> </w:t>
      </w:r>
      <w:proofErr w:type="spellStart"/>
      <w:r w:rsidR="001C61C8" w:rsidRPr="008868C4">
        <w:rPr>
          <w:rFonts w:ascii="Times New Roman" w:hAnsi="Times New Roman" w:cs="Times New Roman"/>
          <w:i/>
          <w:iCs/>
        </w:rPr>
        <w:t>the</w:t>
      </w:r>
      <w:proofErr w:type="spellEnd"/>
      <w:r w:rsidR="001C61C8" w:rsidRPr="008868C4">
        <w:rPr>
          <w:rFonts w:ascii="Times New Roman" w:hAnsi="Times New Roman" w:cs="Times New Roman"/>
          <w:i/>
          <w:iCs/>
        </w:rPr>
        <w:t xml:space="preserve"> model Y = </w:t>
      </w:r>
      <w:proofErr w:type="spellStart"/>
      <w:r w:rsidR="001C61C8" w:rsidRPr="008868C4">
        <w:rPr>
          <w:rFonts w:ascii="Times New Roman" w:hAnsi="Times New Roman" w:cs="Times New Roman"/>
          <w:i/>
          <w:iCs/>
        </w:rPr>
        <w:t>mean</w:t>
      </w:r>
      <w:proofErr w:type="spellEnd"/>
      <w:r w:rsidR="001C61C8" w:rsidRPr="008868C4">
        <w:rPr>
          <w:rFonts w:ascii="Times New Roman" w:hAnsi="Times New Roman" w:cs="Times New Roman"/>
          <w:i/>
          <w:iCs/>
        </w:rPr>
        <w:t>(Y)</w:t>
      </w:r>
      <w:r>
        <w:rPr>
          <w:rFonts w:ascii="Times New Roman" w:hAnsi="Times New Roman" w:cs="Times New Roman"/>
          <w:i/>
          <w:iCs/>
        </w:rPr>
        <w:t>,</w:t>
      </w:r>
      <w:r w:rsidRPr="008868C4">
        <w:rPr>
          <w:rFonts w:ascii="Times New Roman" w:hAnsi="Times New Roman" w:cs="Times New Roman"/>
          <w:i/>
          <w:iCs/>
          <w:sz w:val="21"/>
          <w:szCs w:val="21"/>
        </w:rPr>
        <w:t xml:space="preserve"> </w:t>
      </w:r>
      <w:proofErr w:type="spellStart"/>
      <w:r>
        <w:rPr>
          <w:rFonts w:ascii="Times New Roman" w:hAnsi="Times New Roman" w:cs="Times New Roman"/>
          <w:i/>
          <w:iCs/>
          <w:sz w:val="21"/>
          <w:szCs w:val="21"/>
        </w:rPr>
        <w:t>a</w:t>
      </w:r>
      <w:r w:rsidRPr="00BB2B60">
        <w:rPr>
          <w:rFonts w:ascii="Times New Roman" w:hAnsi="Times New Roman" w:cs="Times New Roman"/>
          <w:i/>
          <w:iCs/>
          <w:sz w:val="21"/>
          <w:szCs w:val="21"/>
        </w:rPr>
        <w:t>uthors</w:t>
      </w:r>
      <w:proofErr w:type="spellEnd"/>
      <w:r w:rsidRPr="00BB2B60">
        <w:rPr>
          <w:rFonts w:ascii="Times New Roman" w:hAnsi="Times New Roman" w:cs="Times New Roman"/>
          <w:i/>
          <w:iCs/>
          <w:sz w:val="21"/>
          <w:szCs w:val="21"/>
          <w:lang w:val="en-US"/>
        </w:rPr>
        <w:t>’ contribution</w:t>
      </w:r>
      <w:r>
        <w:rPr>
          <w:rFonts w:ascii="Times New Roman" w:hAnsi="Times New Roman" w:cs="Times New Roman"/>
          <w:i/>
          <w:iCs/>
          <w:sz w:val="21"/>
          <w:szCs w:val="21"/>
          <w:lang w:val="en-US"/>
        </w:rPr>
        <w:t>, SPSS processing.</w:t>
      </w:r>
    </w:p>
    <w:p w14:paraId="0E368B20" w14:textId="402FFA9F" w:rsidR="00BB2B60" w:rsidRDefault="00A15970" w:rsidP="0005329B">
      <w:pPr>
        <w:spacing w:after="0" w:line="360" w:lineRule="auto"/>
        <w:jc w:val="both"/>
        <w:rPr>
          <w:rFonts w:ascii="Times New Roman" w:hAnsi="Times New Roman" w:cs="Times New Roman"/>
          <w:i/>
          <w:iCs/>
          <w:lang w:val="en-US"/>
        </w:rPr>
      </w:pPr>
      <w:r w:rsidRPr="00A15970">
        <w:rPr>
          <w:rFonts w:ascii="Times New Roman" w:hAnsi="Times New Roman" w:cs="Times New Roman"/>
          <w:i/>
          <w:iCs/>
        </w:rPr>
        <w:t xml:space="preserve">Table </w:t>
      </w:r>
      <w:proofErr w:type="spellStart"/>
      <w:r w:rsidRPr="00A15970">
        <w:rPr>
          <w:rFonts w:ascii="Times New Roman" w:hAnsi="Times New Roman" w:cs="Times New Roman"/>
          <w:i/>
          <w:iCs/>
        </w:rPr>
        <w:t>no</w:t>
      </w:r>
      <w:proofErr w:type="spellEnd"/>
      <w:r w:rsidRPr="00A15970">
        <w:rPr>
          <w:rFonts w:ascii="Times New Roman" w:hAnsi="Times New Roman" w:cs="Times New Roman"/>
          <w:i/>
          <w:iCs/>
        </w:rPr>
        <w:t>. 6</w:t>
      </w:r>
      <w:r w:rsidRPr="00A15970">
        <w:rPr>
          <w:rFonts w:ascii="Times New Roman" w:hAnsi="Times New Roman" w:cs="Times New Roman"/>
        </w:rPr>
        <w:t xml:space="preserve"> </w:t>
      </w:r>
      <w:r w:rsidRPr="00A15970">
        <w:rPr>
          <w:rFonts w:ascii="Times New Roman" w:hAnsi="Times New Roman" w:cs="Times New Roman"/>
          <w:i/>
          <w:iCs/>
          <w:lang w:val="en-US"/>
        </w:rPr>
        <w:t>Correlation matrix</w:t>
      </w:r>
    </w:p>
    <w:tbl>
      <w:tblPr>
        <w:tblStyle w:val="TableGrid"/>
        <w:tblW w:w="0" w:type="auto"/>
        <w:tblLook w:val="04A0" w:firstRow="1" w:lastRow="0" w:firstColumn="1" w:lastColumn="0" w:noHBand="0" w:noVBand="1"/>
      </w:tblPr>
      <w:tblGrid>
        <w:gridCol w:w="1585"/>
        <w:gridCol w:w="1198"/>
        <w:gridCol w:w="1199"/>
        <w:gridCol w:w="1199"/>
        <w:gridCol w:w="1199"/>
        <w:gridCol w:w="1199"/>
        <w:gridCol w:w="1199"/>
      </w:tblGrid>
      <w:tr w:rsidR="00371F8E" w14:paraId="29EC1354" w14:textId="77777777" w:rsidTr="00871444">
        <w:trPr>
          <w:trHeight w:val="401"/>
        </w:trPr>
        <w:tc>
          <w:tcPr>
            <w:tcW w:w="1585" w:type="dxa"/>
          </w:tcPr>
          <w:p w14:paraId="41399EEB" w14:textId="77777777"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lang w:val="en-US"/>
              </w:rPr>
              <w:t>Variables</w:t>
            </w:r>
          </w:p>
        </w:tc>
        <w:tc>
          <w:tcPr>
            <w:tcW w:w="1198" w:type="dxa"/>
          </w:tcPr>
          <w:p w14:paraId="5A927496" w14:textId="77777777"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lang w:val="en-US"/>
              </w:rPr>
              <w:t>Var.1</w:t>
            </w:r>
          </w:p>
        </w:tc>
        <w:tc>
          <w:tcPr>
            <w:tcW w:w="1199" w:type="dxa"/>
          </w:tcPr>
          <w:p w14:paraId="3F8F88D1" w14:textId="77777777"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lang w:val="en-US"/>
              </w:rPr>
              <w:t>Var.2</w:t>
            </w:r>
          </w:p>
        </w:tc>
        <w:tc>
          <w:tcPr>
            <w:tcW w:w="1199" w:type="dxa"/>
          </w:tcPr>
          <w:p w14:paraId="00808A1A" w14:textId="77777777"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lang w:val="en-US"/>
              </w:rPr>
              <w:t>Var.3</w:t>
            </w:r>
          </w:p>
        </w:tc>
        <w:tc>
          <w:tcPr>
            <w:tcW w:w="1199" w:type="dxa"/>
          </w:tcPr>
          <w:p w14:paraId="5E3EC88E" w14:textId="77777777"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lang w:val="en-US"/>
              </w:rPr>
              <w:t>Var.4</w:t>
            </w:r>
          </w:p>
        </w:tc>
        <w:tc>
          <w:tcPr>
            <w:tcW w:w="1199" w:type="dxa"/>
          </w:tcPr>
          <w:p w14:paraId="29A0E9DF" w14:textId="77777777"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lang w:val="en-US"/>
              </w:rPr>
              <w:t>Var.5</w:t>
            </w:r>
          </w:p>
        </w:tc>
        <w:tc>
          <w:tcPr>
            <w:tcW w:w="1199" w:type="dxa"/>
          </w:tcPr>
          <w:p w14:paraId="1D38DFBD" w14:textId="77777777"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lang w:val="en-US"/>
              </w:rPr>
              <w:t>Var.6</w:t>
            </w:r>
          </w:p>
        </w:tc>
      </w:tr>
      <w:tr w:rsidR="00371F8E" w14:paraId="06820FB4" w14:textId="77777777" w:rsidTr="00871444">
        <w:trPr>
          <w:trHeight w:val="401"/>
        </w:trPr>
        <w:tc>
          <w:tcPr>
            <w:tcW w:w="1585" w:type="dxa"/>
          </w:tcPr>
          <w:p w14:paraId="080A68AC" w14:textId="6B25BDDC" w:rsidR="00371F8E" w:rsidRPr="0048576B" w:rsidRDefault="00371F8E" w:rsidP="0005329B">
            <w:pPr>
              <w:spacing w:after="0"/>
              <w:rPr>
                <w:rFonts w:ascii="Times New Roman" w:hAnsi="Times New Roman" w:cs="Times New Roman"/>
                <w:lang w:val="en-US"/>
              </w:rPr>
            </w:pPr>
            <w:r w:rsidRPr="00CA1260">
              <w:rPr>
                <w:rFonts w:ascii="Times New Roman" w:hAnsi="Times New Roman" w:cs="Times New Roman"/>
                <w:color w:val="000000" w:themeColor="text1"/>
              </w:rPr>
              <w:t xml:space="preserve">PPP capital </w:t>
            </w:r>
            <w:proofErr w:type="spellStart"/>
            <w:r w:rsidRPr="00CA1260">
              <w:rPr>
                <w:rFonts w:ascii="Times New Roman" w:hAnsi="Times New Roman" w:cs="Times New Roman"/>
                <w:color w:val="000000" w:themeColor="text1"/>
              </w:rPr>
              <w:t>value</w:t>
            </w:r>
            <w:proofErr w:type="spellEnd"/>
            <w:r w:rsidRPr="00CA1260">
              <w:rPr>
                <w:rFonts w:ascii="Times New Roman" w:hAnsi="Times New Roman" w:cs="Times New Roman"/>
                <w:color w:val="000000" w:themeColor="text1"/>
              </w:rPr>
              <w:t xml:space="preserve">, </w:t>
            </w:r>
            <w:proofErr w:type="spellStart"/>
            <w:r w:rsidRPr="00CA1260">
              <w:rPr>
                <w:rFonts w:ascii="Times New Roman" w:hAnsi="Times New Roman" w:cs="Times New Roman"/>
                <w:color w:val="000000" w:themeColor="text1"/>
              </w:rPr>
              <w:t>average</w:t>
            </w:r>
            <w:proofErr w:type="spellEnd"/>
            <w:r w:rsidRPr="00CA1260">
              <w:rPr>
                <w:rFonts w:ascii="Times New Roman" w:hAnsi="Times New Roman" w:cs="Times New Roman"/>
                <w:color w:val="000000" w:themeColor="text1"/>
              </w:rPr>
              <w:t xml:space="preserve"> for </w:t>
            </w:r>
            <w:proofErr w:type="spellStart"/>
            <w:r w:rsidRPr="00CA1260">
              <w:rPr>
                <w:rFonts w:ascii="Times New Roman" w:hAnsi="Times New Roman" w:cs="Times New Roman"/>
                <w:color w:val="000000" w:themeColor="text1"/>
              </w:rPr>
              <w:t>the</w:t>
            </w:r>
            <w:proofErr w:type="spellEnd"/>
            <w:r w:rsidRPr="00CA1260">
              <w:rPr>
                <w:rFonts w:ascii="Times New Roman" w:hAnsi="Times New Roman" w:cs="Times New Roman"/>
                <w:color w:val="000000" w:themeColor="text1"/>
              </w:rPr>
              <w:t xml:space="preserve"> period 2012–2024</w:t>
            </w:r>
          </w:p>
        </w:tc>
        <w:tc>
          <w:tcPr>
            <w:tcW w:w="1198" w:type="dxa"/>
          </w:tcPr>
          <w:p w14:paraId="125E4140" w14:textId="0B658DC6" w:rsidR="00371F8E" w:rsidRPr="0048576B" w:rsidRDefault="00117802" w:rsidP="0005329B">
            <w:pPr>
              <w:spacing w:after="0"/>
              <w:rPr>
                <w:rFonts w:ascii="Times New Roman" w:hAnsi="Times New Roman" w:cs="Times New Roman"/>
                <w:lang w:val="en-US"/>
              </w:rPr>
            </w:pPr>
            <w:r>
              <w:rPr>
                <w:rFonts w:ascii="Times New Roman" w:hAnsi="Times New Roman" w:cs="Times New Roman"/>
                <w:lang w:val="en-US"/>
              </w:rPr>
              <w:t>1</w:t>
            </w:r>
          </w:p>
        </w:tc>
        <w:tc>
          <w:tcPr>
            <w:tcW w:w="1199" w:type="dxa"/>
          </w:tcPr>
          <w:p w14:paraId="44F9FD45" w14:textId="62C8BB71" w:rsidR="00371F8E" w:rsidRPr="0048576B" w:rsidRDefault="00117802" w:rsidP="0005329B">
            <w:pPr>
              <w:spacing w:after="0"/>
              <w:rPr>
                <w:rFonts w:ascii="Times New Roman" w:hAnsi="Times New Roman" w:cs="Times New Roman"/>
                <w:lang w:val="en-US"/>
              </w:rPr>
            </w:pPr>
            <w:r w:rsidRPr="0048576B">
              <w:rPr>
                <w:rFonts w:ascii="Times New Roman" w:hAnsi="Times New Roman" w:cs="Times New Roman"/>
                <w:lang w:val="en-US"/>
              </w:rPr>
              <w:t>0,8753</w:t>
            </w:r>
          </w:p>
        </w:tc>
        <w:tc>
          <w:tcPr>
            <w:tcW w:w="1199" w:type="dxa"/>
          </w:tcPr>
          <w:p w14:paraId="45760710" w14:textId="5EDDAF43"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lang w:val="en-US"/>
              </w:rPr>
              <w:t>-0.</w:t>
            </w:r>
            <w:r w:rsidR="00117802">
              <w:rPr>
                <w:rFonts w:ascii="Times New Roman" w:hAnsi="Times New Roman" w:cs="Times New Roman"/>
                <w:lang w:val="en-US"/>
              </w:rPr>
              <w:t>1066</w:t>
            </w:r>
          </w:p>
        </w:tc>
        <w:tc>
          <w:tcPr>
            <w:tcW w:w="1199" w:type="dxa"/>
          </w:tcPr>
          <w:p w14:paraId="5BF9BB71" w14:textId="313D1605"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lang w:val="en-US"/>
              </w:rPr>
              <w:t>-0.</w:t>
            </w:r>
            <w:r w:rsidR="00117802">
              <w:rPr>
                <w:rFonts w:ascii="Times New Roman" w:hAnsi="Times New Roman" w:cs="Times New Roman"/>
                <w:lang w:val="en-US"/>
              </w:rPr>
              <w:t>0283</w:t>
            </w:r>
          </w:p>
        </w:tc>
        <w:tc>
          <w:tcPr>
            <w:tcW w:w="1199" w:type="dxa"/>
          </w:tcPr>
          <w:p w14:paraId="1698B499" w14:textId="7A66A9F7" w:rsidR="00371F8E" w:rsidRPr="0048576B" w:rsidRDefault="00117802" w:rsidP="0005329B">
            <w:pPr>
              <w:spacing w:after="0"/>
              <w:rPr>
                <w:rFonts w:ascii="Times New Roman" w:hAnsi="Times New Roman" w:cs="Times New Roman"/>
                <w:lang w:val="en-US"/>
              </w:rPr>
            </w:pPr>
            <w:r>
              <w:rPr>
                <w:rFonts w:ascii="Times New Roman" w:hAnsi="Times New Roman" w:cs="Times New Roman"/>
                <w:lang w:val="en-US"/>
              </w:rPr>
              <w:t>-</w:t>
            </w:r>
            <w:r w:rsidR="00371F8E" w:rsidRPr="0048576B">
              <w:rPr>
                <w:rFonts w:ascii="Times New Roman" w:hAnsi="Times New Roman" w:cs="Times New Roman"/>
                <w:lang w:val="en-US"/>
              </w:rPr>
              <w:t>0</w:t>
            </w:r>
            <w:r>
              <w:rPr>
                <w:rFonts w:ascii="Times New Roman" w:hAnsi="Times New Roman" w:cs="Times New Roman"/>
                <w:lang w:val="en-US"/>
              </w:rPr>
              <w:t>.2072</w:t>
            </w:r>
          </w:p>
        </w:tc>
        <w:tc>
          <w:tcPr>
            <w:tcW w:w="1199" w:type="dxa"/>
          </w:tcPr>
          <w:p w14:paraId="7B54FD30" w14:textId="4422DEC8" w:rsidR="00371F8E" w:rsidRPr="00117802" w:rsidRDefault="00117802" w:rsidP="0005329B">
            <w:pPr>
              <w:spacing w:after="0"/>
              <w:rPr>
                <w:rFonts w:ascii="Times New Roman" w:hAnsi="Times New Roman" w:cs="Times New Roman"/>
                <w:lang w:val="en-US"/>
              </w:rPr>
            </w:pPr>
            <w:r>
              <w:rPr>
                <w:rFonts w:ascii="Times New Roman" w:hAnsi="Times New Roman" w:cs="Times New Roman"/>
                <w:lang w:val="en-US"/>
              </w:rPr>
              <w:t>0.0987</w:t>
            </w:r>
          </w:p>
        </w:tc>
      </w:tr>
      <w:tr w:rsidR="00371F8E" w14:paraId="52037025" w14:textId="77777777" w:rsidTr="00871444">
        <w:trPr>
          <w:trHeight w:val="724"/>
        </w:trPr>
        <w:tc>
          <w:tcPr>
            <w:tcW w:w="1585" w:type="dxa"/>
          </w:tcPr>
          <w:p w14:paraId="60AE43CC" w14:textId="77777777"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rPr>
              <w:t xml:space="preserve">PPP cumulative </w:t>
            </w:r>
            <w:proofErr w:type="spellStart"/>
            <w:r w:rsidRPr="0048576B">
              <w:rPr>
                <w:rFonts w:ascii="Times New Roman" w:hAnsi="Times New Roman" w:cs="Times New Roman"/>
              </w:rPr>
              <w:t>value</w:t>
            </w:r>
            <w:proofErr w:type="spellEnd"/>
          </w:p>
        </w:tc>
        <w:tc>
          <w:tcPr>
            <w:tcW w:w="1198" w:type="dxa"/>
          </w:tcPr>
          <w:p w14:paraId="186BD17D" w14:textId="367AD725" w:rsidR="00371F8E" w:rsidRPr="0048576B" w:rsidRDefault="00117802" w:rsidP="0005329B">
            <w:pPr>
              <w:spacing w:after="0"/>
              <w:rPr>
                <w:rFonts w:ascii="Times New Roman" w:hAnsi="Times New Roman" w:cs="Times New Roman"/>
                <w:lang w:val="en-US"/>
              </w:rPr>
            </w:pPr>
            <w:r w:rsidRPr="0048576B">
              <w:rPr>
                <w:rFonts w:ascii="Times New Roman" w:hAnsi="Times New Roman" w:cs="Times New Roman"/>
                <w:lang w:val="en-US"/>
              </w:rPr>
              <w:t>0</w:t>
            </w:r>
            <w:r w:rsidR="00A96ECA">
              <w:rPr>
                <w:rFonts w:ascii="Times New Roman" w:hAnsi="Times New Roman" w:cs="Times New Roman"/>
                <w:lang w:val="en-US"/>
              </w:rPr>
              <w:t>.</w:t>
            </w:r>
            <w:r w:rsidRPr="0048576B">
              <w:rPr>
                <w:rFonts w:ascii="Times New Roman" w:hAnsi="Times New Roman" w:cs="Times New Roman"/>
                <w:lang w:val="en-US"/>
              </w:rPr>
              <w:t>8753</w:t>
            </w:r>
          </w:p>
        </w:tc>
        <w:tc>
          <w:tcPr>
            <w:tcW w:w="1199" w:type="dxa"/>
          </w:tcPr>
          <w:p w14:paraId="7B505CDB" w14:textId="19AFC695" w:rsidR="00371F8E" w:rsidRPr="0048576B" w:rsidRDefault="00117802" w:rsidP="0005329B">
            <w:pPr>
              <w:spacing w:after="0"/>
              <w:rPr>
                <w:rFonts w:ascii="Times New Roman" w:hAnsi="Times New Roman" w:cs="Times New Roman"/>
                <w:lang w:val="en-US"/>
              </w:rPr>
            </w:pPr>
            <w:r>
              <w:rPr>
                <w:rFonts w:ascii="Times New Roman" w:hAnsi="Times New Roman" w:cs="Times New Roman"/>
                <w:lang w:val="en-US"/>
              </w:rPr>
              <w:t>1</w:t>
            </w:r>
          </w:p>
        </w:tc>
        <w:tc>
          <w:tcPr>
            <w:tcW w:w="1199" w:type="dxa"/>
          </w:tcPr>
          <w:p w14:paraId="55074374" w14:textId="6BBE92AF" w:rsidR="00371F8E" w:rsidRPr="0048576B" w:rsidRDefault="00117802" w:rsidP="0005329B">
            <w:pPr>
              <w:spacing w:after="0"/>
              <w:rPr>
                <w:rFonts w:ascii="Times New Roman" w:hAnsi="Times New Roman" w:cs="Times New Roman"/>
                <w:lang w:val="en-US"/>
              </w:rPr>
            </w:pPr>
            <w:r w:rsidRPr="0048576B">
              <w:rPr>
                <w:rFonts w:ascii="Times New Roman" w:hAnsi="Times New Roman" w:cs="Times New Roman"/>
                <w:lang w:val="en-US"/>
              </w:rPr>
              <w:t>-0.2361</w:t>
            </w:r>
          </w:p>
        </w:tc>
        <w:tc>
          <w:tcPr>
            <w:tcW w:w="1199" w:type="dxa"/>
          </w:tcPr>
          <w:p w14:paraId="12B3A9C3" w14:textId="4110EB53"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lang w:val="en-US"/>
              </w:rPr>
              <w:t>-</w:t>
            </w:r>
            <w:r w:rsidR="00117802">
              <w:rPr>
                <w:rFonts w:ascii="Times New Roman" w:hAnsi="Times New Roman" w:cs="Times New Roman"/>
                <w:lang w:val="en-US"/>
              </w:rPr>
              <w:t>0.0349</w:t>
            </w:r>
          </w:p>
        </w:tc>
        <w:tc>
          <w:tcPr>
            <w:tcW w:w="1199" w:type="dxa"/>
          </w:tcPr>
          <w:p w14:paraId="1184518B" w14:textId="5736F301" w:rsidR="00371F8E" w:rsidRPr="0048576B" w:rsidRDefault="00117802" w:rsidP="0005329B">
            <w:pPr>
              <w:spacing w:after="0"/>
              <w:rPr>
                <w:rFonts w:ascii="Times New Roman" w:hAnsi="Times New Roman" w:cs="Times New Roman"/>
                <w:lang w:val="en-US"/>
              </w:rPr>
            </w:pPr>
            <w:r>
              <w:rPr>
                <w:rFonts w:ascii="Times New Roman" w:hAnsi="Times New Roman" w:cs="Times New Roman"/>
                <w:lang w:val="en-US"/>
              </w:rPr>
              <w:t>-0.3158</w:t>
            </w:r>
          </w:p>
        </w:tc>
        <w:tc>
          <w:tcPr>
            <w:tcW w:w="1199" w:type="dxa"/>
          </w:tcPr>
          <w:p w14:paraId="1C3901B6" w14:textId="27789CDC"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lang w:val="en-US"/>
              </w:rPr>
              <w:t>0</w:t>
            </w:r>
            <w:r w:rsidR="00117802">
              <w:rPr>
                <w:rFonts w:ascii="Times New Roman" w:hAnsi="Times New Roman" w:cs="Times New Roman"/>
                <w:lang w:val="en-US"/>
              </w:rPr>
              <w:t>.0958</w:t>
            </w:r>
          </w:p>
        </w:tc>
      </w:tr>
      <w:tr w:rsidR="00371F8E" w14:paraId="49CA9327" w14:textId="77777777" w:rsidTr="00871444">
        <w:tc>
          <w:tcPr>
            <w:tcW w:w="1585" w:type="dxa"/>
          </w:tcPr>
          <w:p w14:paraId="68F20ACA" w14:textId="77777777"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rPr>
              <w:t xml:space="preserve">Real GDP per </w:t>
            </w:r>
            <w:proofErr w:type="spellStart"/>
            <w:r w:rsidRPr="0048576B">
              <w:rPr>
                <w:rFonts w:ascii="Times New Roman" w:hAnsi="Times New Roman" w:cs="Times New Roman"/>
              </w:rPr>
              <w:t>capita</w:t>
            </w:r>
            <w:proofErr w:type="spellEnd"/>
            <w:r w:rsidRPr="0048576B">
              <w:rPr>
                <w:rFonts w:ascii="Times New Roman" w:hAnsi="Times New Roman" w:cs="Times New Roman"/>
              </w:rPr>
              <w:t xml:space="preserve"> </w:t>
            </w:r>
            <w:proofErr w:type="spellStart"/>
            <w:r w:rsidRPr="0048576B">
              <w:rPr>
                <w:rFonts w:ascii="Times New Roman" w:hAnsi="Times New Roman" w:cs="Times New Roman"/>
              </w:rPr>
              <w:t>growth</w:t>
            </w:r>
            <w:proofErr w:type="spellEnd"/>
            <w:r w:rsidRPr="0048576B">
              <w:rPr>
                <w:rFonts w:ascii="Times New Roman" w:hAnsi="Times New Roman" w:cs="Times New Roman"/>
              </w:rPr>
              <w:t xml:space="preserve"> – </w:t>
            </w:r>
            <w:proofErr w:type="spellStart"/>
            <w:r w:rsidRPr="0048576B">
              <w:rPr>
                <w:rFonts w:ascii="Times New Roman" w:hAnsi="Times New Roman" w:cs="Times New Roman"/>
              </w:rPr>
              <w:t>average</w:t>
            </w:r>
            <w:proofErr w:type="spellEnd"/>
            <w:r w:rsidRPr="0048576B">
              <w:rPr>
                <w:rFonts w:ascii="Times New Roman" w:hAnsi="Times New Roman" w:cs="Times New Roman"/>
              </w:rPr>
              <w:t xml:space="preserve"> for </w:t>
            </w:r>
            <w:proofErr w:type="spellStart"/>
            <w:r w:rsidRPr="0048576B">
              <w:rPr>
                <w:rFonts w:ascii="Times New Roman" w:hAnsi="Times New Roman" w:cs="Times New Roman"/>
              </w:rPr>
              <w:t>the</w:t>
            </w:r>
            <w:proofErr w:type="spellEnd"/>
            <w:r w:rsidRPr="0048576B">
              <w:rPr>
                <w:rFonts w:ascii="Times New Roman" w:hAnsi="Times New Roman" w:cs="Times New Roman"/>
              </w:rPr>
              <w:t xml:space="preserve"> period 2013–2024</w:t>
            </w:r>
          </w:p>
        </w:tc>
        <w:tc>
          <w:tcPr>
            <w:tcW w:w="1198" w:type="dxa"/>
          </w:tcPr>
          <w:p w14:paraId="2894CEEF" w14:textId="3D4EA08E"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lang w:val="en-US"/>
              </w:rPr>
              <w:t>-</w:t>
            </w:r>
            <w:r w:rsidR="00A96ECA" w:rsidRPr="0048576B">
              <w:rPr>
                <w:rFonts w:ascii="Times New Roman" w:hAnsi="Times New Roman" w:cs="Times New Roman"/>
                <w:lang w:val="en-US"/>
              </w:rPr>
              <w:t>0.1066</w:t>
            </w:r>
          </w:p>
        </w:tc>
        <w:tc>
          <w:tcPr>
            <w:tcW w:w="1199" w:type="dxa"/>
          </w:tcPr>
          <w:p w14:paraId="6FD381B6" w14:textId="362ED030" w:rsidR="00371F8E" w:rsidRPr="0048576B" w:rsidRDefault="00A96ECA" w:rsidP="0005329B">
            <w:pPr>
              <w:spacing w:after="0"/>
              <w:rPr>
                <w:rFonts w:ascii="Times New Roman" w:hAnsi="Times New Roman" w:cs="Times New Roman"/>
                <w:lang w:val="en-US"/>
              </w:rPr>
            </w:pPr>
            <w:r>
              <w:rPr>
                <w:rFonts w:ascii="Times New Roman" w:hAnsi="Times New Roman" w:cs="Times New Roman"/>
                <w:lang w:val="en-US"/>
              </w:rPr>
              <w:t>-0.2361</w:t>
            </w:r>
          </w:p>
        </w:tc>
        <w:tc>
          <w:tcPr>
            <w:tcW w:w="1199" w:type="dxa"/>
          </w:tcPr>
          <w:p w14:paraId="2024099F" w14:textId="0B8200E0" w:rsidR="00371F8E" w:rsidRPr="0048576B" w:rsidRDefault="00A96ECA" w:rsidP="0005329B">
            <w:pPr>
              <w:spacing w:after="0"/>
              <w:rPr>
                <w:rFonts w:ascii="Times New Roman" w:hAnsi="Times New Roman" w:cs="Times New Roman"/>
                <w:lang w:val="en-US"/>
              </w:rPr>
            </w:pPr>
            <w:r>
              <w:rPr>
                <w:rFonts w:ascii="Times New Roman" w:hAnsi="Times New Roman" w:cs="Times New Roman"/>
                <w:lang w:val="en-US"/>
              </w:rPr>
              <w:t>1</w:t>
            </w:r>
          </w:p>
        </w:tc>
        <w:tc>
          <w:tcPr>
            <w:tcW w:w="1199" w:type="dxa"/>
          </w:tcPr>
          <w:p w14:paraId="2191DED2" w14:textId="519BE17E" w:rsidR="00371F8E" w:rsidRPr="0048576B" w:rsidRDefault="00A96ECA" w:rsidP="0005329B">
            <w:pPr>
              <w:spacing w:after="0"/>
              <w:rPr>
                <w:rFonts w:ascii="Times New Roman" w:hAnsi="Times New Roman" w:cs="Times New Roman"/>
                <w:lang w:val="en-US"/>
              </w:rPr>
            </w:pPr>
            <w:r>
              <w:rPr>
                <w:rFonts w:ascii="Times New Roman" w:hAnsi="Times New Roman" w:cs="Times New Roman"/>
                <w:lang w:val="en-US"/>
              </w:rPr>
              <w:t>-0.0570</w:t>
            </w:r>
          </w:p>
        </w:tc>
        <w:tc>
          <w:tcPr>
            <w:tcW w:w="1199" w:type="dxa"/>
          </w:tcPr>
          <w:p w14:paraId="741DF1C2" w14:textId="5B113815" w:rsidR="00371F8E" w:rsidRPr="0048576B" w:rsidRDefault="00A96ECA" w:rsidP="0005329B">
            <w:pPr>
              <w:spacing w:after="0"/>
              <w:rPr>
                <w:rFonts w:ascii="Times New Roman" w:hAnsi="Times New Roman" w:cs="Times New Roman"/>
                <w:lang w:val="en-US"/>
              </w:rPr>
            </w:pPr>
            <w:r>
              <w:rPr>
                <w:rFonts w:ascii="Times New Roman" w:hAnsi="Times New Roman" w:cs="Times New Roman"/>
                <w:lang w:val="en-US"/>
              </w:rPr>
              <w:t>0.2144</w:t>
            </w:r>
          </w:p>
        </w:tc>
        <w:tc>
          <w:tcPr>
            <w:tcW w:w="1199" w:type="dxa"/>
          </w:tcPr>
          <w:p w14:paraId="3BD086A7" w14:textId="04F87443" w:rsidR="00371F8E" w:rsidRPr="0048576B" w:rsidRDefault="00A96ECA" w:rsidP="0005329B">
            <w:pPr>
              <w:spacing w:after="0"/>
              <w:rPr>
                <w:rFonts w:ascii="Times New Roman" w:hAnsi="Times New Roman" w:cs="Times New Roman"/>
                <w:lang w:val="en-US"/>
              </w:rPr>
            </w:pPr>
            <w:r>
              <w:rPr>
                <w:rFonts w:ascii="Times New Roman" w:hAnsi="Times New Roman" w:cs="Times New Roman"/>
                <w:lang w:val="en-US"/>
              </w:rPr>
              <w:t>-0.2670</w:t>
            </w:r>
          </w:p>
        </w:tc>
      </w:tr>
      <w:tr w:rsidR="00371F8E" w14:paraId="36C3FE8E" w14:textId="77777777" w:rsidTr="00871444">
        <w:tc>
          <w:tcPr>
            <w:tcW w:w="1585" w:type="dxa"/>
          </w:tcPr>
          <w:p w14:paraId="7B7C1AE0" w14:textId="77777777" w:rsidR="00371F8E" w:rsidRPr="0048576B" w:rsidRDefault="00371F8E" w:rsidP="0005329B">
            <w:pPr>
              <w:spacing w:after="0"/>
              <w:rPr>
                <w:rFonts w:ascii="Times New Roman" w:hAnsi="Times New Roman" w:cs="Times New Roman"/>
                <w:lang w:val="en-US"/>
              </w:rPr>
            </w:pPr>
            <w:proofErr w:type="spellStart"/>
            <w:r w:rsidRPr="0048576B">
              <w:rPr>
                <w:rFonts w:ascii="Times New Roman" w:hAnsi="Times New Roman" w:cs="Times New Roman"/>
              </w:rPr>
              <w:t>Unemployment</w:t>
            </w:r>
            <w:proofErr w:type="spellEnd"/>
            <w:r w:rsidRPr="0048576B">
              <w:rPr>
                <w:rFonts w:ascii="Times New Roman" w:hAnsi="Times New Roman" w:cs="Times New Roman"/>
              </w:rPr>
              <w:t xml:space="preserve"> rate – </w:t>
            </w:r>
            <w:proofErr w:type="spellStart"/>
            <w:r w:rsidRPr="0048576B">
              <w:rPr>
                <w:rFonts w:ascii="Times New Roman" w:hAnsi="Times New Roman" w:cs="Times New Roman"/>
              </w:rPr>
              <w:t>average</w:t>
            </w:r>
            <w:proofErr w:type="spellEnd"/>
            <w:r w:rsidRPr="0048576B">
              <w:rPr>
                <w:rFonts w:ascii="Times New Roman" w:hAnsi="Times New Roman" w:cs="Times New Roman"/>
              </w:rPr>
              <w:t xml:space="preserve"> for </w:t>
            </w:r>
            <w:proofErr w:type="spellStart"/>
            <w:r w:rsidRPr="0048576B">
              <w:rPr>
                <w:rFonts w:ascii="Times New Roman" w:hAnsi="Times New Roman" w:cs="Times New Roman"/>
              </w:rPr>
              <w:t>the</w:t>
            </w:r>
            <w:proofErr w:type="spellEnd"/>
            <w:r w:rsidRPr="0048576B">
              <w:rPr>
                <w:rFonts w:ascii="Times New Roman" w:hAnsi="Times New Roman" w:cs="Times New Roman"/>
              </w:rPr>
              <w:t xml:space="preserve"> period 2013–2024</w:t>
            </w:r>
          </w:p>
        </w:tc>
        <w:tc>
          <w:tcPr>
            <w:tcW w:w="1198" w:type="dxa"/>
          </w:tcPr>
          <w:p w14:paraId="6320102A" w14:textId="61912649" w:rsidR="00371F8E" w:rsidRPr="0048576B" w:rsidRDefault="00A96ECA" w:rsidP="0005329B">
            <w:pPr>
              <w:spacing w:after="0"/>
              <w:rPr>
                <w:rFonts w:ascii="Times New Roman" w:hAnsi="Times New Roman" w:cs="Times New Roman"/>
                <w:lang w:val="en-US"/>
              </w:rPr>
            </w:pPr>
            <w:r w:rsidRPr="0048576B">
              <w:rPr>
                <w:rFonts w:ascii="Times New Roman" w:hAnsi="Times New Roman" w:cs="Times New Roman"/>
                <w:lang w:val="en-US"/>
              </w:rPr>
              <w:t>-0.0283</w:t>
            </w:r>
          </w:p>
        </w:tc>
        <w:tc>
          <w:tcPr>
            <w:tcW w:w="1199" w:type="dxa"/>
          </w:tcPr>
          <w:p w14:paraId="601900C9" w14:textId="37E816CC" w:rsidR="00371F8E" w:rsidRPr="0048576B" w:rsidRDefault="00A96ECA" w:rsidP="0005329B">
            <w:pPr>
              <w:spacing w:after="0"/>
              <w:rPr>
                <w:rFonts w:ascii="Times New Roman" w:hAnsi="Times New Roman" w:cs="Times New Roman"/>
                <w:lang w:val="en-US"/>
              </w:rPr>
            </w:pPr>
            <w:r>
              <w:rPr>
                <w:rFonts w:ascii="Times New Roman" w:hAnsi="Times New Roman" w:cs="Times New Roman"/>
                <w:lang w:val="en-US"/>
              </w:rPr>
              <w:t>0.0349</w:t>
            </w:r>
          </w:p>
        </w:tc>
        <w:tc>
          <w:tcPr>
            <w:tcW w:w="1199" w:type="dxa"/>
          </w:tcPr>
          <w:p w14:paraId="3A3FFD94" w14:textId="13EF6C91" w:rsidR="00371F8E" w:rsidRPr="0048576B" w:rsidRDefault="00A96ECA" w:rsidP="0005329B">
            <w:pPr>
              <w:spacing w:after="0"/>
              <w:rPr>
                <w:rFonts w:ascii="Times New Roman" w:hAnsi="Times New Roman" w:cs="Times New Roman"/>
                <w:lang w:val="en-US"/>
              </w:rPr>
            </w:pPr>
            <w:r>
              <w:rPr>
                <w:rFonts w:ascii="Times New Roman" w:hAnsi="Times New Roman" w:cs="Times New Roman"/>
                <w:lang w:val="en-US"/>
              </w:rPr>
              <w:t>-0.0570</w:t>
            </w:r>
          </w:p>
        </w:tc>
        <w:tc>
          <w:tcPr>
            <w:tcW w:w="1199" w:type="dxa"/>
          </w:tcPr>
          <w:p w14:paraId="43EFF972" w14:textId="5BA372CF" w:rsidR="00371F8E" w:rsidRPr="0048576B" w:rsidRDefault="00A96ECA" w:rsidP="0005329B">
            <w:pPr>
              <w:spacing w:after="0"/>
              <w:rPr>
                <w:rFonts w:ascii="Times New Roman" w:hAnsi="Times New Roman" w:cs="Times New Roman"/>
                <w:lang w:val="en-US"/>
              </w:rPr>
            </w:pPr>
            <w:r>
              <w:rPr>
                <w:rFonts w:ascii="Times New Roman" w:hAnsi="Times New Roman" w:cs="Times New Roman"/>
                <w:lang w:val="en-US"/>
              </w:rPr>
              <w:t>1</w:t>
            </w:r>
          </w:p>
        </w:tc>
        <w:tc>
          <w:tcPr>
            <w:tcW w:w="1199" w:type="dxa"/>
          </w:tcPr>
          <w:p w14:paraId="68416CB8" w14:textId="409F1A71" w:rsidR="00371F8E" w:rsidRPr="0048576B" w:rsidRDefault="00371F8E" w:rsidP="0005329B">
            <w:pPr>
              <w:spacing w:after="0"/>
              <w:rPr>
                <w:rFonts w:ascii="Times New Roman" w:hAnsi="Times New Roman" w:cs="Times New Roman"/>
                <w:lang w:val="en-US"/>
              </w:rPr>
            </w:pPr>
            <w:r w:rsidRPr="0048576B">
              <w:rPr>
                <w:rFonts w:ascii="Times New Roman" w:hAnsi="Times New Roman" w:cs="Times New Roman"/>
                <w:lang w:val="en-US"/>
              </w:rPr>
              <w:t>-</w:t>
            </w:r>
            <w:r w:rsidR="00A96ECA">
              <w:rPr>
                <w:rFonts w:ascii="Times New Roman" w:hAnsi="Times New Roman" w:cs="Times New Roman"/>
                <w:lang w:val="en-US"/>
              </w:rPr>
              <w:t>0.4660</w:t>
            </w:r>
          </w:p>
        </w:tc>
        <w:tc>
          <w:tcPr>
            <w:tcW w:w="1199" w:type="dxa"/>
          </w:tcPr>
          <w:p w14:paraId="30F4B4AC" w14:textId="4100BE75" w:rsidR="00371F8E" w:rsidRPr="00A96ECA" w:rsidRDefault="00A96ECA" w:rsidP="0005329B">
            <w:pPr>
              <w:spacing w:after="0"/>
              <w:rPr>
                <w:rFonts w:ascii="Times New Roman" w:hAnsi="Times New Roman" w:cs="Times New Roman"/>
                <w:lang w:val="en-US"/>
              </w:rPr>
            </w:pPr>
            <w:r>
              <w:rPr>
                <w:rFonts w:ascii="Times New Roman" w:hAnsi="Times New Roman" w:cs="Times New Roman"/>
                <w:lang w:val="en-US"/>
              </w:rPr>
              <w:t>-0.3202</w:t>
            </w:r>
          </w:p>
        </w:tc>
      </w:tr>
      <w:tr w:rsidR="00371F8E" w14:paraId="3B5262A0" w14:textId="77777777" w:rsidTr="00871444">
        <w:tc>
          <w:tcPr>
            <w:tcW w:w="1585" w:type="dxa"/>
          </w:tcPr>
          <w:p w14:paraId="18095FC9" w14:textId="77777777" w:rsidR="00371F8E" w:rsidRPr="0048576B" w:rsidRDefault="00371F8E" w:rsidP="0005329B">
            <w:pPr>
              <w:spacing w:after="0"/>
              <w:rPr>
                <w:rFonts w:ascii="Times New Roman" w:hAnsi="Times New Roman" w:cs="Times New Roman"/>
                <w:lang w:val="en-US"/>
              </w:rPr>
            </w:pPr>
            <w:proofErr w:type="spellStart"/>
            <w:r w:rsidRPr="0048576B">
              <w:rPr>
                <w:rFonts w:ascii="Times New Roman" w:hAnsi="Times New Roman" w:cs="Times New Roman"/>
              </w:rPr>
              <w:t>Share</w:t>
            </w:r>
            <w:proofErr w:type="spellEnd"/>
            <w:r w:rsidRPr="0048576B">
              <w:rPr>
                <w:rFonts w:ascii="Times New Roman" w:hAnsi="Times New Roman" w:cs="Times New Roman"/>
              </w:rPr>
              <w:t xml:space="preserve"> of </w:t>
            </w:r>
            <w:proofErr w:type="spellStart"/>
            <w:r w:rsidRPr="0048576B">
              <w:rPr>
                <w:rFonts w:ascii="Times New Roman" w:hAnsi="Times New Roman" w:cs="Times New Roman"/>
              </w:rPr>
              <w:t>investment</w:t>
            </w:r>
            <w:proofErr w:type="spellEnd"/>
            <w:r w:rsidRPr="0048576B">
              <w:rPr>
                <w:rFonts w:ascii="Times New Roman" w:hAnsi="Times New Roman" w:cs="Times New Roman"/>
              </w:rPr>
              <w:t xml:space="preserve"> – </w:t>
            </w:r>
            <w:proofErr w:type="spellStart"/>
            <w:r w:rsidRPr="0048576B">
              <w:rPr>
                <w:rFonts w:ascii="Times New Roman" w:hAnsi="Times New Roman" w:cs="Times New Roman"/>
              </w:rPr>
              <w:t>average</w:t>
            </w:r>
            <w:proofErr w:type="spellEnd"/>
            <w:r w:rsidRPr="0048576B">
              <w:rPr>
                <w:rFonts w:ascii="Times New Roman" w:hAnsi="Times New Roman" w:cs="Times New Roman"/>
              </w:rPr>
              <w:t xml:space="preserve"> for </w:t>
            </w:r>
            <w:proofErr w:type="spellStart"/>
            <w:r w:rsidRPr="0048576B">
              <w:rPr>
                <w:rFonts w:ascii="Times New Roman" w:hAnsi="Times New Roman" w:cs="Times New Roman"/>
              </w:rPr>
              <w:t>the</w:t>
            </w:r>
            <w:proofErr w:type="spellEnd"/>
            <w:r w:rsidRPr="0048576B">
              <w:rPr>
                <w:rFonts w:ascii="Times New Roman" w:hAnsi="Times New Roman" w:cs="Times New Roman"/>
              </w:rPr>
              <w:t xml:space="preserve"> </w:t>
            </w:r>
            <w:r w:rsidRPr="0048576B">
              <w:rPr>
                <w:rFonts w:ascii="Times New Roman" w:hAnsi="Times New Roman" w:cs="Times New Roman"/>
              </w:rPr>
              <w:lastRenderedPageBreak/>
              <w:t>period 2013–2024</w:t>
            </w:r>
          </w:p>
        </w:tc>
        <w:tc>
          <w:tcPr>
            <w:tcW w:w="1198" w:type="dxa"/>
          </w:tcPr>
          <w:p w14:paraId="3AAC5F76" w14:textId="3EA84477" w:rsidR="00371F8E" w:rsidRPr="0048576B" w:rsidRDefault="00A96ECA" w:rsidP="0005329B">
            <w:pPr>
              <w:spacing w:after="0"/>
              <w:rPr>
                <w:rFonts w:ascii="Times New Roman" w:hAnsi="Times New Roman" w:cs="Times New Roman"/>
                <w:lang w:val="en-US"/>
              </w:rPr>
            </w:pPr>
            <w:r>
              <w:rPr>
                <w:rFonts w:ascii="Times New Roman" w:hAnsi="Times New Roman" w:cs="Times New Roman"/>
                <w:lang w:val="en-US"/>
              </w:rPr>
              <w:lastRenderedPageBreak/>
              <w:t>0.</w:t>
            </w:r>
            <w:r w:rsidR="006A7299">
              <w:rPr>
                <w:rFonts w:ascii="Times New Roman" w:hAnsi="Times New Roman" w:cs="Times New Roman"/>
                <w:lang w:val="en-US"/>
              </w:rPr>
              <w:t>2072</w:t>
            </w:r>
          </w:p>
        </w:tc>
        <w:tc>
          <w:tcPr>
            <w:tcW w:w="1199" w:type="dxa"/>
          </w:tcPr>
          <w:p w14:paraId="01D7099D" w14:textId="4726B88A" w:rsidR="00371F8E" w:rsidRPr="0048576B" w:rsidRDefault="006A7299" w:rsidP="0005329B">
            <w:pPr>
              <w:spacing w:after="0"/>
              <w:rPr>
                <w:rFonts w:ascii="Times New Roman" w:hAnsi="Times New Roman" w:cs="Times New Roman"/>
                <w:lang w:val="en-US"/>
              </w:rPr>
            </w:pPr>
            <w:r>
              <w:rPr>
                <w:rFonts w:ascii="Times New Roman" w:hAnsi="Times New Roman" w:cs="Times New Roman"/>
                <w:lang w:val="en-US"/>
              </w:rPr>
              <w:t>-0.3158</w:t>
            </w:r>
          </w:p>
        </w:tc>
        <w:tc>
          <w:tcPr>
            <w:tcW w:w="1199" w:type="dxa"/>
          </w:tcPr>
          <w:p w14:paraId="3198740C" w14:textId="3338D8FE" w:rsidR="00371F8E" w:rsidRPr="0048576B" w:rsidRDefault="006A7299" w:rsidP="0005329B">
            <w:pPr>
              <w:spacing w:after="0"/>
              <w:rPr>
                <w:rFonts w:ascii="Times New Roman" w:hAnsi="Times New Roman" w:cs="Times New Roman"/>
                <w:lang w:val="en-US"/>
              </w:rPr>
            </w:pPr>
            <w:r>
              <w:rPr>
                <w:rFonts w:ascii="Times New Roman" w:hAnsi="Times New Roman" w:cs="Times New Roman"/>
                <w:lang w:val="en-US"/>
              </w:rPr>
              <w:t>0.2144</w:t>
            </w:r>
          </w:p>
        </w:tc>
        <w:tc>
          <w:tcPr>
            <w:tcW w:w="1199" w:type="dxa"/>
          </w:tcPr>
          <w:p w14:paraId="40A8CA0D" w14:textId="4E51DA35" w:rsidR="00371F8E" w:rsidRPr="0048576B" w:rsidRDefault="006A7299" w:rsidP="0005329B">
            <w:pPr>
              <w:spacing w:after="0"/>
              <w:rPr>
                <w:rFonts w:ascii="Times New Roman" w:hAnsi="Times New Roman" w:cs="Times New Roman"/>
                <w:lang w:val="en-US"/>
              </w:rPr>
            </w:pPr>
            <w:r>
              <w:rPr>
                <w:rFonts w:ascii="Times New Roman" w:hAnsi="Times New Roman" w:cs="Times New Roman"/>
                <w:lang w:val="en-US"/>
              </w:rPr>
              <w:t>-0.4660</w:t>
            </w:r>
          </w:p>
        </w:tc>
        <w:tc>
          <w:tcPr>
            <w:tcW w:w="1199" w:type="dxa"/>
          </w:tcPr>
          <w:p w14:paraId="265C2F76" w14:textId="352D015D" w:rsidR="00371F8E" w:rsidRPr="0048576B" w:rsidRDefault="006A7299" w:rsidP="0005329B">
            <w:pPr>
              <w:spacing w:after="0"/>
              <w:rPr>
                <w:rFonts w:ascii="Times New Roman" w:hAnsi="Times New Roman" w:cs="Times New Roman"/>
                <w:lang w:val="en-US"/>
              </w:rPr>
            </w:pPr>
            <w:r>
              <w:rPr>
                <w:rFonts w:ascii="Times New Roman" w:hAnsi="Times New Roman" w:cs="Times New Roman"/>
                <w:lang w:val="en-US"/>
              </w:rPr>
              <w:t>1</w:t>
            </w:r>
          </w:p>
        </w:tc>
        <w:tc>
          <w:tcPr>
            <w:tcW w:w="1199" w:type="dxa"/>
          </w:tcPr>
          <w:p w14:paraId="39959A6F" w14:textId="33827314" w:rsidR="00371F8E" w:rsidRPr="0048576B" w:rsidRDefault="006A7299" w:rsidP="0005329B">
            <w:pPr>
              <w:spacing w:after="0"/>
              <w:rPr>
                <w:rFonts w:ascii="Times New Roman" w:hAnsi="Times New Roman" w:cs="Times New Roman"/>
                <w:lang w:val="en-US"/>
              </w:rPr>
            </w:pPr>
            <w:r>
              <w:rPr>
                <w:rFonts w:ascii="Times New Roman" w:hAnsi="Times New Roman" w:cs="Times New Roman"/>
                <w:lang w:val="en-US"/>
              </w:rPr>
              <w:t>0.3235</w:t>
            </w:r>
          </w:p>
        </w:tc>
      </w:tr>
      <w:tr w:rsidR="00371F8E" w14:paraId="11CEEEB7" w14:textId="77777777" w:rsidTr="00871444">
        <w:tc>
          <w:tcPr>
            <w:tcW w:w="1585" w:type="dxa"/>
          </w:tcPr>
          <w:p w14:paraId="629E66D8" w14:textId="77777777" w:rsidR="00371F8E" w:rsidRPr="0048576B" w:rsidRDefault="00371F8E" w:rsidP="0005329B">
            <w:pPr>
              <w:spacing w:after="0"/>
              <w:rPr>
                <w:rFonts w:ascii="Times New Roman" w:hAnsi="Times New Roman" w:cs="Times New Roman"/>
              </w:rPr>
            </w:pPr>
            <w:r w:rsidRPr="0048576B">
              <w:rPr>
                <w:rFonts w:ascii="Times New Roman" w:hAnsi="Times New Roman" w:cs="Times New Roman"/>
              </w:rPr>
              <w:t>Quality-</w:t>
            </w:r>
            <w:proofErr w:type="spellStart"/>
            <w:r w:rsidRPr="0048576B">
              <w:rPr>
                <w:rFonts w:ascii="Times New Roman" w:hAnsi="Times New Roman" w:cs="Times New Roman"/>
              </w:rPr>
              <w:t>Adjusted</w:t>
            </w:r>
            <w:proofErr w:type="spellEnd"/>
            <w:r w:rsidRPr="0048576B">
              <w:rPr>
                <w:rFonts w:ascii="Times New Roman" w:hAnsi="Times New Roman" w:cs="Times New Roman"/>
              </w:rPr>
              <w:t xml:space="preserve"> </w:t>
            </w:r>
            <w:proofErr w:type="spellStart"/>
            <w:r w:rsidRPr="0048576B">
              <w:rPr>
                <w:rFonts w:ascii="Times New Roman" w:hAnsi="Times New Roman" w:cs="Times New Roman"/>
              </w:rPr>
              <w:t>Labour</w:t>
            </w:r>
            <w:proofErr w:type="spellEnd"/>
            <w:r w:rsidRPr="0048576B">
              <w:rPr>
                <w:rFonts w:ascii="Times New Roman" w:hAnsi="Times New Roman" w:cs="Times New Roman"/>
              </w:rPr>
              <w:t xml:space="preserve"> Input (QALI) index – </w:t>
            </w:r>
            <w:proofErr w:type="spellStart"/>
            <w:r w:rsidRPr="0048576B">
              <w:rPr>
                <w:rFonts w:ascii="Times New Roman" w:hAnsi="Times New Roman" w:cs="Times New Roman"/>
              </w:rPr>
              <w:t>average</w:t>
            </w:r>
            <w:proofErr w:type="spellEnd"/>
            <w:r w:rsidRPr="0048576B">
              <w:rPr>
                <w:rFonts w:ascii="Times New Roman" w:hAnsi="Times New Roman" w:cs="Times New Roman"/>
              </w:rPr>
              <w:t xml:space="preserve"> for </w:t>
            </w:r>
            <w:proofErr w:type="spellStart"/>
            <w:r w:rsidRPr="0048576B">
              <w:rPr>
                <w:rFonts w:ascii="Times New Roman" w:hAnsi="Times New Roman" w:cs="Times New Roman"/>
              </w:rPr>
              <w:t>the</w:t>
            </w:r>
            <w:proofErr w:type="spellEnd"/>
            <w:r w:rsidRPr="0048576B">
              <w:rPr>
                <w:rFonts w:ascii="Times New Roman" w:hAnsi="Times New Roman" w:cs="Times New Roman"/>
              </w:rPr>
              <w:t xml:space="preserve"> period 2013–2024</w:t>
            </w:r>
          </w:p>
        </w:tc>
        <w:tc>
          <w:tcPr>
            <w:tcW w:w="1198" w:type="dxa"/>
          </w:tcPr>
          <w:p w14:paraId="71DC5AB0" w14:textId="4FDC3AC8" w:rsidR="00371F8E" w:rsidRPr="00117802" w:rsidRDefault="006A7299" w:rsidP="0005329B">
            <w:pPr>
              <w:spacing w:after="0"/>
              <w:rPr>
                <w:rFonts w:ascii="Times New Roman" w:hAnsi="Times New Roman" w:cs="Times New Roman"/>
                <w:lang w:val="en-US"/>
              </w:rPr>
            </w:pPr>
            <w:r>
              <w:rPr>
                <w:rFonts w:ascii="Times New Roman" w:hAnsi="Times New Roman" w:cs="Times New Roman"/>
                <w:lang w:val="en-US"/>
              </w:rPr>
              <w:t>0.0987</w:t>
            </w:r>
          </w:p>
        </w:tc>
        <w:tc>
          <w:tcPr>
            <w:tcW w:w="1199" w:type="dxa"/>
          </w:tcPr>
          <w:p w14:paraId="2D8FF332" w14:textId="4D8A765E" w:rsidR="00371F8E" w:rsidRPr="0048576B" w:rsidRDefault="006A7299" w:rsidP="0005329B">
            <w:pPr>
              <w:spacing w:after="0"/>
              <w:rPr>
                <w:rFonts w:ascii="Times New Roman" w:hAnsi="Times New Roman" w:cs="Times New Roman"/>
                <w:lang w:val="en-US"/>
              </w:rPr>
            </w:pPr>
            <w:r>
              <w:rPr>
                <w:rFonts w:ascii="Times New Roman" w:hAnsi="Times New Roman" w:cs="Times New Roman"/>
                <w:lang w:val="en-US"/>
              </w:rPr>
              <w:t>0.0958</w:t>
            </w:r>
          </w:p>
        </w:tc>
        <w:tc>
          <w:tcPr>
            <w:tcW w:w="1199" w:type="dxa"/>
          </w:tcPr>
          <w:p w14:paraId="06719651" w14:textId="2DCA7B15" w:rsidR="00371F8E" w:rsidRPr="0048576B" w:rsidRDefault="006A7299" w:rsidP="0005329B">
            <w:pPr>
              <w:spacing w:after="0"/>
              <w:rPr>
                <w:rFonts w:ascii="Times New Roman" w:hAnsi="Times New Roman" w:cs="Times New Roman"/>
                <w:lang w:val="en-US"/>
              </w:rPr>
            </w:pPr>
            <w:r>
              <w:rPr>
                <w:rFonts w:ascii="Times New Roman" w:hAnsi="Times New Roman" w:cs="Times New Roman"/>
                <w:lang w:val="en-US"/>
              </w:rPr>
              <w:t>-0.2670</w:t>
            </w:r>
          </w:p>
        </w:tc>
        <w:tc>
          <w:tcPr>
            <w:tcW w:w="1199" w:type="dxa"/>
          </w:tcPr>
          <w:p w14:paraId="4EA04A09" w14:textId="45396B46" w:rsidR="00371F8E" w:rsidRPr="0048576B" w:rsidRDefault="006A7299" w:rsidP="0005329B">
            <w:pPr>
              <w:spacing w:after="0"/>
              <w:rPr>
                <w:rFonts w:ascii="Times New Roman" w:hAnsi="Times New Roman" w:cs="Times New Roman"/>
                <w:lang w:val="en-US"/>
              </w:rPr>
            </w:pPr>
            <w:r>
              <w:rPr>
                <w:rFonts w:ascii="Times New Roman" w:hAnsi="Times New Roman" w:cs="Times New Roman"/>
                <w:lang w:val="en-US"/>
              </w:rPr>
              <w:t>-0.3202</w:t>
            </w:r>
          </w:p>
        </w:tc>
        <w:tc>
          <w:tcPr>
            <w:tcW w:w="1199" w:type="dxa"/>
          </w:tcPr>
          <w:p w14:paraId="76452657" w14:textId="03911EF4" w:rsidR="00371F8E" w:rsidRPr="0048576B" w:rsidRDefault="006A7299" w:rsidP="0005329B">
            <w:pPr>
              <w:spacing w:after="0"/>
              <w:rPr>
                <w:rFonts w:ascii="Times New Roman" w:hAnsi="Times New Roman" w:cs="Times New Roman"/>
                <w:lang w:val="en-US"/>
              </w:rPr>
            </w:pPr>
            <w:r>
              <w:rPr>
                <w:rFonts w:ascii="Times New Roman" w:hAnsi="Times New Roman" w:cs="Times New Roman"/>
                <w:lang w:val="en-US"/>
              </w:rPr>
              <w:t>0.3235</w:t>
            </w:r>
          </w:p>
        </w:tc>
        <w:tc>
          <w:tcPr>
            <w:tcW w:w="1199" w:type="dxa"/>
          </w:tcPr>
          <w:p w14:paraId="55DCC719" w14:textId="57F7367F" w:rsidR="00371F8E" w:rsidRPr="0048576B" w:rsidRDefault="006A7299" w:rsidP="0005329B">
            <w:pPr>
              <w:spacing w:after="0"/>
              <w:rPr>
                <w:rFonts w:ascii="Times New Roman" w:hAnsi="Times New Roman" w:cs="Times New Roman"/>
                <w:lang w:val="en-US"/>
              </w:rPr>
            </w:pPr>
            <w:r>
              <w:rPr>
                <w:rFonts w:ascii="Times New Roman" w:hAnsi="Times New Roman" w:cs="Times New Roman"/>
                <w:lang w:val="en-US"/>
              </w:rPr>
              <w:t>1</w:t>
            </w:r>
          </w:p>
        </w:tc>
      </w:tr>
    </w:tbl>
    <w:p w14:paraId="255B75CD" w14:textId="4EC7F3DB" w:rsidR="00DA15E4" w:rsidRDefault="00BB2B60" w:rsidP="00A478F4">
      <w:pPr>
        <w:widowControl w:val="0"/>
        <w:autoSpaceDE w:val="0"/>
        <w:autoSpaceDN w:val="0"/>
        <w:adjustRightInd w:val="0"/>
        <w:spacing w:after="0" w:line="240" w:lineRule="auto"/>
        <w:jc w:val="both"/>
        <w:rPr>
          <w:rFonts w:ascii="Times New Roman" w:hAnsi="Times New Roman" w:cs="Times New Roman"/>
          <w:i/>
          <w:iCs/>
          <w:sz w:val="21"/>
          <w:szCs w:val="21"/>
          <w:lang w:val="en-US"/>
        </w:rPr>
      </w:pPr>
      <w:r w:rsidRPr="00BB2B60">
        <w:rPr>
          <w:rFonts w:ascii="Times New Roman" w:hAnsi="Times New Roman" w:cs="Times New Roman"/>
          <w:i/>
          <w:iCs/>
          <w:color w:val="000000"/>
        </w:rPr>
        <w:t xml:space="preserve"> </w:t>
      </w:r>
      <w:proofErr w:type="spellStart"/>
      <w:r w:rsidRPr="00BB2B60">
        <w:rPr>
          <w:rFonts w:ascii="Times New Roman" w:hAnsi="Times New Roman" w:cs="Times New Roman"/>
          <w:i/>
          <w:iCs/>
          <w:sz w:val="21"/>
          <w:szCs w:val="21"/>
        </w:rPr>
        <w:t>Source</w:t>
      </w:r>
      <w:proofErr w:type="spellEnd"/>
      <w:r w:rsidRPr="00BB2B60">
        <w:rPr>
          <w:rFonts w:ascii="Times New Roman" w:hAnsi="Times New Roman" w:cs="Times New Roman"/>
          <w:i/>
          <w:iCs/>
          <w:sz w:val="21"/>
          <w:szCs w:val="21"/>
        </w:rPr>
        <w:t xml:space="preserve">: </w:t>
      </w:r>
      <w:proofErr w:type="spellStart"/>
      <w:r w:rsidRPr="00BB2B60">
        <w:rPr>
          <w:rFonts w:ascii="Times New Roman" w:hAnsi="Times New Roman" w:cs="Times New Roman"/>
          <w:i/>
          <w:iCs/>
          <w:sz w:val="21"/>
          <w:szCs w:val="21"/>
        </w:rPr>
        <w:t>Authors</w:t>
      </w:r>
      <w:proofErr w:type="spellEnd"/>
      <w:r w:rsidRPr="00BB2B60">
        <w:rPr>
          <w:rFonts w:ascii="Times New Roman" w:hAnsi="Times New Roman" w:cs="Times New Roman"/>
          <w:i/>
          <w:iCs/>
          <w:sz w:val="21"/>
          <w:szCs w:val="21"/>
          <w:lang w:val="en-US"/>
        </w:rPr>
        <w:t>’ contribution</w:t>
      </w:r>
      <w:r>
        <w:rPr>
          <w:rFonts w:ascii="Times New Roman" w:hAnsi="Times New Roman" w:cs="Times New Roman"/>
          <w:i/>
          <w:iCs/>
          <w:sz w:val="21"/>
          <w:szCs w:val="21"/>
          <w:lang w:val="en-US"/>
        </w:rPr>
        <w:t xml:space="preserve">, SPSS </w:t>
      </w:r>
      <w:r w:rsidR="00DA15E4">
        <w:rPr>
          <w:rFonts w:ascii="Times New Roman" w:hAnsi="Times New Roman" w:cs="Times New Roman"/>
          <w:i/>
          <w:iCs/>
          <w:sz w:val="21"/>
          <w:szCs w:val="21"/>
          <w:lang w:val="en-US"/>
        </w:rPr>
        <w:t>processing</w:t>
      </w:r>
    </w:p>
    <w:p w14:paraId="5B4BBBFB" w14:textId="77777777" w:rsidR="00BB2B60" w:rsidRPr="00042D4D" w:rsidRDefault="00BB2B60" w:rsidP="00A478F4">
      <w:pPr>
        <w:widowControl w:val="0"/>
        <w:autoSpaceDE w:val="0"/>
        <w:autoSpaceDN w:val="0"/>
        <w:adjustRightInd w:val="0"/>
        <w:spacing w:after="0" w:line="240" w:lineRule="auto"/>
        <w:jc w:val="both"/>
        <w:rPr>
          <w:rFonts w:ascii="Times New Roman" w:hAnsi="Times New Roman" w:cs="Times New Roman"/>
          <w:b/>
          <w:bCs/>
        </w:rPr>
      </w:pPr>
    </w:p>
    <w:p w14:paraId="37494A4E" w14:textId="2B246D27" w:rsidR="00261C40" w:rsidRDefault="008475D9" w:rsidP="00A478F4">
      <w:pPr>
        <w:widowControl w:val="0"/>
        <w:autoSpaceDE w:val="0"/>
        <w:autoSpaceDN w:val="0"/>
        <w:adjustRightInd w:val="0"/>
        <w:spacing w:after="0" w:line="240" w:lineRule="auto"/>
        <w:jc w:val="both"/>
        <w:rPr>
          <w:rFonts w:ascii="Times New Roman" w:hAnsi="Times New Roman" w:cs="Times New Roman"/>
          <w:b/>
          <w:bCs/>
          <w:lang w:val="en-US"/>
        </w:rPr>
      </w:pPr>
      <w:r>
        <w:rPr>
          <w:rFonts w:ascii="Times New Roman" w:hAnsi="Times New Roman" w:cs="Times New Roman"/>
          <w:b/>
          <w:bCs/>
          <w:lang w:val="en-US"/>
        </w:rPr>
        <w:t>6</w:t>
      </w:r>
      <w:r w:rsidR="00261C40">
        <w:rPr>
          <w:rFonts w:ascii="Times New Roman" w:hAnsi="Times New Roman" w:cs="Times New Roman"/>
          <w:b/>
          <w:bCs/>
          <w:lang w:val="en-US"/>
        </w:rPr>
        <w:t>. Conclusions</w:t>
      </w:r>
    </w:p>
    <w:p w14:paraId="25E7A38B" w14:textId="77777777" w:rsidR="00DA15E4" w:rsidRDefault="00DA15E4" w:rsidP="00A478F4">
      <w:pPr>
        <w:widowControl w:val="0"/>
        <w:autoSpaceDE w:val="0"/>
        <w:autoSpaceDN w:val="0"/>
        <w:adjustRightInd w:val="0"/>
        <w:spacing w:after="0" w:line="240" w:lineRule="auto"/>
        <w:jc w:val="both"/>
        <w:rPr>
          <w:rFonts w:ascii="Times New Roman" w:hAnsi="Times New Roman" w:cs="Times New Roman"/>
          <w:b/>
          <w:bCs/>
          <w:lang w:val="en-US"/>
        </w:rPr>
      </w:pPr>
    </w:p>
    <w:p w14:paraId="76C1A165" w14:textId="242193C7" w:rsidR="00E54B7E" w:rsidRDefault="00E54B7E" w:rsidP="00A478F4">
      <w:pPr>
        <w:widowControl w:val="0"/>
        <w:autoSpaceDE w:val="0"/>
        <w:autoSpaceDN w:val="0"/>
        <w:adjustRightInd w:val="0"/>
        <w:spacing w:after="0" w:line="240" w:lineRule="auto"/>
        <w:jc w:val="both"/>
        <w:rPr>
          <w:rFonts w:ascii="Times New Roman" w:hAnsi="Times New Roman" w:cs="Times New Roman"/>
          <w:color w:val="000000"/>
          <w:lang w:val="en-RO" w:eastAsia="en-US"/>
        </w:rPr>
      </w:pPr>
      <w:r w:rsidRPr="00E54B7E">
        <w:rPr>
          <w:rFonts w:ascii="Times New Roman" w:hAnsi="Times New Roman" w:cs="Times New Roman"/>
          <w:color w:val="000000"/>
          <w:lang w:val="en-RO" w:eastAsia="en-US"/>
        </w:rPr>
        <w:t xml:space="preserve">This study provides empirical evidence on the role of public–private partnerships (PPPs) in fostering local economic development across European countries. Using a multivariate regression approach and data from Eurostat and PPP databases (2012–2024), the analysis demonstrates that the </w:t>
      </w:r>
      <w:r w:rsidRPr="00A26818">
        <w:rPr>
          <w:rFonts w:ascii="Times New Roman" w:hAnsi="Times New Roman" w:cs="Times New Roman"/>
          <w:i/>
          <w:iCs/>
          <w:color w:val="000000"/>
          <w:lang w:val="en-RO" w:eastAsia="en-US"/>
        </w:rPr>
        <w:t>number of PPP projects is the primary determinant of the total capital invested, highlighting the critical role of implementation intensity and institutional capacity in attracting private investment</w:t>
      </w:r>
      <w:r w:rsidRPr="00E54B7E">
        <w:rPr>
          <w:rFonts w:ascii="Times New Roman" w:hAnsi="Times New Roman" w:cs="Times New Roman"/>
          <w:color w:val="000000"/>
          <w:lang w:val="en-RO" w:eastAsia="en-US"/>
        </w:rPr>
        <w:t>. Other macroeconomic indicators, such as GDP per capita growth, unemployment, investment share, show limited individual impact but contribute to the overall explanatory power of the model. These findings underscore the importance of stable legal frameworks, administrative capacity, and collaborative governance in maximizing PPP efficiency. The study offers guidance for policymakers seeking to design and implement effective PPP strategies to stimulate investment and support sustainable development.</w:t>
      </w:r>
    </w:p>
    <w:p w14:paraId="61DFB5EA" w14:textId="77777777" w:rsidR="00E95C91" w:rsidRDefault="00E95C91" w:rsidP="00A478F4">
      <w:pPr>
        <w:widowControl w:val="0"/>
        <w:autoSpaceDE w:val="0"/>
        <w:autoSpaceDN w:val="0"/>
        <w:adjustRightInd w:val="0"/>
        <w:spacing w:after="0" w:line="240" w:lineRule="auto"/>
        <w:jc w:val="both"/>
        <w:rPr>
          <w:rFonts w:ascii="Times New Roman" w:hAnsi="Times New Roman" w:cs="Times New Roman"/>
          <w:color w:val="000000"/>
          <w:lang w:val="en-RO" w:eastAsia="en-US"/>
        </w:rPr>
      </w:pPr>
    </w:p>
    <w:p w14:paraId="5BBC7037" w14:textId="4D6D9EE0" w:rsidR="00261C40" w:rsidRPr="002A0A51" w:rsidRDefault="008475D9" w:rsidP="00A478F4">
      <w:pPr>
        <w:widowControl w:val="0"/>
        <w:autoSpaceDE w:val="0"/>
        <w:autoSpaceDN w:val="0"/>
        <w:adjustRightInd w:val="0"/>
        <w:spacing w:after="0" w:line="240" w:lineRule="auto"/>
        <w:jc w:val="both"/>
        <w:rPr>
          <w:rFonts w:ascii="Times New Roman" w:hAnsi="Times New Roman" w:cs="Times New Roman"/>
          <w:b/>
          <w:bCs/>
          <w:lang w:val="en-US"/>
        </w:rPr>
      </w:pPr>
      <w:r>
        <w:rPr>
          <w:rFonts w:ascii="Times New Roman" w:hAnsi="Times New Roman" w:cs="Times New Roman"/>
          <w:b/>
          <w:bCs/>
          <w:lang w:val="en-US"/>
        </w:rPr>
        <w:t>7</w:t>
      </w:r>
      <w:r w:rsidR="00261C40">
        <w:rPr>
          <w:rFonts w:ascii="Times New Roman" w:hAnsi="Times New Roman" w:cs="Times New Roman"/>
          <w:b/>
          <w:bCs/>
          <w:lang w:val="en-US"/>
        </w:rPr>
        <w:t>. References</w:t>
      </w:r>
    </w:p>
    <w:p w14:paraId="05FAE411" w14:textId="13C2F9EC" w:rsidR="00E95C91" w:rsidRPr="00E95C91" w:rsidRDefault="00E95C91" w:rsidP="004A2E86">
      <w:pPr>
        <w:pStyle w:val="NormalWeb"/>
        <w:numPr>
          <w:ilvl w:val="0"/>
          <w:numId w:val="8"/>
        </w:numPr>
        <w:jc w:val="both"/>
        <w:rPr>
          <w:color w:val="000000"/>
          <w:sz w:val="22"/>
          <w:szCs w:val="22"/>
        </w:rPr>
      </w:pPr>
      <w:r w:rsidRPr="00E95C91">
        <w:rPr>
          <w:color w:val="000000"/>
          <w:sz w:val="22"/>
          <w:szCs w:val="22"/>
        </w:rPr>
        <w:t>Brooks, C.</w:t>
      </w:r>
      <w:r w:rsidR="006A7299">
        <w:rPr>
          <w:color w:val="000000"/>
          <w:sz w:val="22"/>
          <w:szCs w:val="22"/>
          <w:lang w:val="en-US"/>
        </w:rPr>
        <w:t>,</w:t>
      </w:r>
      <w:r w:rsidRPr="00E95C91">
        <w:rPr>
          <w:color w:val="000000"/>
          <w:sz w:val="22"/>
          <w:szCs w:val="22"/>
        </w:rPr>
        <w:t xml:space="preserve"> 2008</w:t>
      </w:r>
      <w:r w:rsidR="006A7299">
        <w:rPr>
          <w:color w:val="000000"/>
          <w:sz w:val="22"/>
          <w:szCs w:val="22"/>
          <w:lang w:val="en-US"/>
        </w:rPr>
        <w:t>,</w:t>
      </w:r>
      <w:r w:rsidRPr="00E95C91">
        <w:rPr>
          <w:rStyle w:val="apple-converted-space"/>
          <w:color w:val="000000"/>
          <w:sz w:val="22"/>
          <w:szCs w:val="22"/>
        </w:rPr>
        <w:t> </w:t>
      </w:r>
      <w:r w:rsidRPr="00E95C91">
        <w:rPr>
          <w:rStyle w:val="Emphasis"/>
          <w:color w:val="000000"/>
          <w:sz w:val="22"/>
          <w:szCs w:val="22"/>
        </w:rPr>
        <w:t>Introductory econometrics for finance</w:t>
      </w:r>
      <w:r w:rsidR="0005329B">
        <w:rPr>
          <w:color w:val="000000"/>
          <w:sz w:val="22"/>
          <w:szCs w:val="22"/>
          <w:lang w:val="ro-RO"/>
        </w:rPr>
        <w:t xml:space="preserve">, </w:t>
      </w:r>
      <w:r w:rsidRPr="00E95C91">
        <w:rPr>
          <w:color w:val="000000"/>
          <w:sz w:val="22"/>
          <w:szCs w:val="22"/>
        </w:rPr>
        <w:t>Cambridge University Press</w:t>
      </w:r>
      <w:r w:rsidR="00944F7E">
        <w:rPr>
          <w:color w:val="000000"/>
          <w:sz w:val="22"/>
          <w:szCs w:val="22"/>
          <w:lang w:val="ro-RO"/>
        </w:rPr>
        <w:t xml:space="preserve">, </w:t>
      </w:r>
      <w:hyperlink r:id="rId8" w:history="1">
        <w:r w:rsidR="00944F7E" w:rsidRPr="00901445">
          <w:rPr>
            <w:rStyle w:val="Hyperlink"/>
            <w:sz w:val="22"/>
            <w:szCs w:val="22"/>
            <w:lang w:val="ro-RO"/>
          </w:rPr>
          <w:t>https://doi.org/10.1017/CBO9780511841644</w:t>
        </w:r>
      </w:hyperlink>
      <w:r w:rsidR="00944F7E">
        <w:rPr>
          <w:color w:val="000000"/>
          <w:sz w:val="22"/>
          <w:szCs w:val="22"/>
          <w:lang w:val="ro-RO"/>
        </w:rPr>
        <w:t xml:space="preserve">, </w:t>
      </w:r>
      <w:r w:rsidR="00EF0EE0">
        <w:rPr>
          <w:color w:val="000000"/>
          <w:sz w:val="22"/>
          <w:szCs w:val="22"/>
          <w:lang w:val="ro-RO"/>
        </w:rPr>
        <w:t xml:space="preserve">Cambridge, </w:t>
      </w:r>
      <w:proofErr w:type="spellStart"/>
      <w:r w:rsidR="00944F7E">
        <w:rPr>
          <w:color w:val="000000"/>
          <w:sz w:val="22"/>
          <w:szCs w:val="22"/>
          <w:lang w:val="ro-RO"/>
        </w:rPr>
        <w:t>Available</w:t>
      </w:r>
      <w:proofErr w:type="spellEnd"/>
      <w:r w:rsidR="00944F7E">
        <w:rPr>
          <w:color w:val="000000"/>
          <w:sz w:val="22"/>
          <w:szCs w:val="22"/>
          <w:lang w:val="ro-RO"/>
        </w:rPr>
        <w:t xml:space="preserve"> at: </w:t>
      </w:r>
      <w:hyperlink r:id="rId9" w:history="1">
        <w:r w:rsidR="00944F7E" w:rsidRPr="00901445">
          <w:rPr>
            <w:rStyle w:val="Hyperlink"/>
            <w:sz w:val="22"/>
            <w:szCs w:val="22"/>
            <w:lang w:val="ro-RO"/>
          </w:rPr>
          <w:t>https://new.mmf.lnu.edu.ua/wp-content/uploads/2018/03/brooks_econometr_finance_2nd.pdf</w:t>
        </w:r>
      </w:hyperlink>
      <w:r w:rsidR="00944F7E">
        <w:rPr>
          <w:color w:val="000000"/>
          <w:sz w:val="22"/>
          <w:szCs w:val="22"/>
          <w:lang w:val="ro-RO"/>
        </w:rPr>
        <w:t>, (</w:t>
      </w:r>
      <w:proofErr w:type="spellStart"/>
      <w:r w:rsidR="00944F7E">
        <w:rPr>
          <w:color w:val="000000"/>
          <w:sz w:val="22"/>
          <w:szCs w:val="22"/>
          <w:lang w:val="ro-RO"/>
        </w:rPr>
        <w:t>Accesed</w:t>
      </w:r>
      <w:proofErr w:type="spellEnd"/>
      <w:r w:rsidR="00944F7E">
        <w:rPr>
          <w:color w:val="000000"/>
          <w:sz w:val="22"/>
          <w:szCs w:val="22"/>
          <w:lang w:val="ro-RO"/>
        </w:rPr>
        <w:t xml:space="preserve">: 7 </w:t>
      </w:r>
      <w:proofErr w:type="spellStart"/>
      <w:r w:rsidR="00944F7E">
        <w:rPr>
          <w:color w:val="000000"/>
          <w:sz w:val="22"/>
          <w:szCs w:val="22"/>
          <w:lang w:val="ro-RO"/>
        </w:rPr>
        <w:t>December</w:t>
      </w:r>
      <w:proofErr w:type="spellEnd"/>
      <w:r w:rsidR="00944F7E">
        <w:rPr>
          <w:color w:val="000000"/>
          <w:sz w:val="22"/>
          <w:szCs w:val="22"/>
          <w:lang w:val="ro-RO"/>
        </w:rPr>
        <w:t xml:space="preserve"> 2025).</w:t>
      </w:r>
    </w:p>
    <w:p w14:paraId="050C19BA" w14:textId="4A24CF37" w:rsidR="00E95C91" w:rsidRPr="00944F7E" w:rsidRDefault="00E95C91" w:rsidP="00944F7E">
      <w:pPr>
        <w:pStyle w:val="HTMLPreformatted"/>
        <w:numPr>
          <w:ilvl w:val="0"/>
          <w:numId w:val="8"/>
        </w:numPr>
        <w:rPr>
          <w:rFonts w:ascii="Times New Roman" w:hAnsi="Times New Roman" w:cs="Times New Roman"/>
          <w:sz w:val="22"/>
          <w:szCs w:val="22"/>
        </w:rPr>
      </w:pPr>
      <w:r w:rsidRPr="00944F7E">
        <w:rPr>
          <w:rFonts w:ascii="Times New Roman" w:hAnsi="Times New Roman" w:cs="Times New Roman"/>
          <w:color w:val="000000"/>
          <w:sz w:val="22"/>
          <w:szCs w:val="22"/>
        </w:rPr>
        <w:t>Constantinescu, D.</w:t>
      </w:r>
      <w:r w:rsidR="006A7299" w:rsidRPr="00944F7E">
        <w:rPr>
          <w:rFonts w:ascii="Times New Roman" w:hAnsi="Times New Roman" w:cs="Times New Roman"/>
          <w:color w:val="000000"/>
          <w:sz w:val="22"/>
          <w:szCs w:val="22"/>
          <w:lang w:val="en-US"/>
        </w:rPr>
        <w:t>,</w:t>
      </w:r>
      <w:r w:rsidRPr="00944F7E">
        <w:rPr>
          <w:rFonts w:ascii="Times New Roman" w:hAnsi="Times New Roman" w:cs="Times New Roman"/>
          <w:color w:val="000000"/>
          <w:sz w:val="22"/>
          <w:szCs w:val="22"/>
        </w:rPr>
        <w:t xml:space="preserve"> 2012</w:t>
      </w:r>
      <w:r w:rsidR="006A7299" w:rsidRPr="00944F7E">
        <w:rPr>
          <w:rFonts w:ascii="Times New Roman" w:hAnsi="Times New Roman" w:cs="Times New Roman"/>
          <w:color w:val="000000"/>
          <w:sz w:val="22"/>
          <w:szCs w:val="22"/>
          <w:lang w:val="en-US"/>
        </w:rPr>
        <w:t>,</w:t>
      </w:r>
      <w:r w:rsidRPr="00944F7E">
        <w:rPr>
          <w:rFonts w:ascii="Times New Roman" w:hAnsi="Times New Roman" w:cs="Times New Roman"/>
          <w:color w:val="000000"/>
          <w:sz w:val="22"/>
          <w:szCs w:val="22"/>
        </w:rPr>
        <w:t xml:space="preserve"> </w:t>
      </w:r>
      <w:r w:rsidRPr="00944F7E">
        <w:rPr>
          <w:rFonts w:ascii="Times New Roman" w:hAnsi="Times New Roman" w:cs="Times New Roman"/>
          <w:i/>
          <w:iCs/>
          <w:color w:val="000000"/>
          <w:sz w:val="22"/>
          <w:szCs w:val="22"/>
        </w:rPr>
        <w:t>Rolul parteneriatului public-privat în creșterea calității serviciilor de asigurare a sănătăţii</w:t>
      </w:r>
      <w:r w:rsidR="006A7299" w:rsidRPr="00944F7E">
        <w:rPr>
          <w:rFonts w:ascii="Times New Roman" w:hAnsi="Times New Roman" w:cs="Times New Roman"/>
          <w:i/>
          <w:iCs/>
          <w:color w:val="000000"/>
          <w:sz w:val="22"/>
          <w:szCs w:val="22"/>
          <w:lang w:val="en-US"/>
        </w:rPr>
        <w:t>,</w:t>
      </w:r>
      <w:r w:rsidRPr="00944F7E">
        <w:rPr>
          <w:rStyle w:val="apple-converted-space"/>
          <w:rFonts w:ascii="Times New Roman" w:hAnsi="Times New Roman" w:cs="Times New Roman"/>
          <w:color w:val="000000"/>
          <w:sz w:val="22"/>
          <w:szCs w:val="22"/>
        </w:rPr>
        <w:t> </w:t>
      </w:r>
      <w:r w:rsidR="00944F7E" w:rsidRPr="00944F7E">
        <w:rPr>
          <w:rFonts w:ascii="Times New Roman" w:hAnsi="Times New Roman" w:cs="Times New Roman"/>
          <w:color w:val="000000"/>
          <w:sz w:val="22"/>
          <w:szCs w:val="22"/>
          <w:lang w:val="en-US"/>
        </w:rPr>
        <w:t xml:space="preserve"> [</w:t>
      </w:r>
      <w:r w:rsidR="00944F7E" w:rsidRPr="00944F7E">
        <w:rPr>
          <w:rStyle w:val="y2iqfc"/>
          <w:rFonts w:ascii="Times New Roman" w:hAnsi="Times New Roman" w:cs="Times New Roman"/>
          <w:sz w:val="22"/>
          <w:szCs w:val="22"/>
          <w:lang w:val="en"/>
        </w:rPr>
        <w:t>The role of public-private partnership in increasing the quality of health insurance services</w:t>
      </w:r>
      <w:r w:rsidR="00944F7E">
        <w:rPr>
          <w:rStyle w:val="y2iqfc"/>
          <w:rFonts w:ascii="Times New Roman" w:hAnsi="Times New Roman" w:cs="Times New Roman"/>
          <w:sz w:val="22"/>
          <w:szCs w:val="22"/>
          <w:lang w:val="en"/>
        </w:rPr>
        <w:t>]</w:t>
      </w:r>
      <w:r w:rsidR="00944F7E" w:rsidRPr="00944F7E">
        <w:rPr>
          <w:rStyle w:val="y2iqfc"/>
          <w:rFonts w:ascii="Times New Roman" w:hAnsi="Times New Roman" w:cs="Times New Roman"/>
          <w:sz w:val="22"/>
          <w:szCs w:val="22"/>
          <w:lang w:val="en"/>
        </w:rPr>
        <w:t>, Theoretical and Applied Economics, XIX</w:t>
      </w:r>
      <w:r w:rsidR="00944F7E">
        <w:rPr>
          <w:rStyle w:val="y2iqfc"/>
          <w:rFonts w:ascii="Times New Roman" w:hAnsi="Times New Roman" w:cs="Times New Roman"/>
          <w:sz w:val="22"/>
          <w:szCs w:val="22"/>
          <w:lang w:val="en"/>
        </w:rPr>
        <w:t xml:space="preserve">, available at: </w:t>
      </w:r>
      <w:hyperlink r:id="rId10" w:history="1">
        <w:r w:rsidR="00944F7E" w:rsidRPr="00901445">
          <w:rPr>
            <w:rStyle w:val="Hyperlink"/>
            <w:rFonts w:ascii="Times New Roman" w:hAnsi="Times New Roman" w:cs="Times New Roman"/>
            <w:sz w:val="22"/>
            <w:szCs w:val="22"/>
            <w:lang w:val="en"/>
          </w:rPr>
          <w:t>https://store.ectap.ro/articole/783_ro.pdf</w:t>
        </w:r>
      </w:hyperlink>
      <w:r w:rsidR="00944F7E">
        <w:rPr>
          <w:rStyle w:val="y2iqfc"/>
          <w:rFonts w:ascii="Times New Roman" w:hAnsi="Times New Roman" w:cs="Times New Roman"/>
          <w:sz w:val="22"/>
          <w:szCs w:val="22"/>
          <w:lang w:val="en"/>
        </w:rPr>
        <w:t>, (</w:t>
      </w:r>
      <w:proofErr w:type="spellStart"/>
      <w:r w:rsidR="00944F7E">
        <w:rPr>
          <w:rStyle w:val="y2iqfc"/>
          <w:rFonts w:ascii="Times New Roman" w:hAnsi="Times New Roman" w:cs="Times New Roman"/>
          <w:sz w:val="22"/>
          <w:szCs w:val="22"/>
          <w:lang w:val="en"/>
        </w:rPr>
        <w:t>Accesed</w:t>
      </w:r>
      <w:proofErr w:type="spellEnd"/>
      <w:r w:rsidR="00944F7E">
        <w:rPr>
          <w:rStyle w:val="y2iqfc"/>
          <w:rFonts w:ascii="Times New Roman" w:hAnsi="Times New Roman" w:cs="Times New Roman"/>
          <w:sz w:val="22"/>
          <w:szCs w:val="22"/>
          <w:lang w:val="en"/>
        </w:rPr>
        <w:t>: 9 December 2025)</w:t>
      </w:r>
    </w:p>
    <w:p w14:paraId="3C4394DD" w14:textId="51FC1266" w:rsidR="00E95C91" w:rsidRPr="00E95C91" w:rsidRDefault="00E95C91" w:rsidP="004A2E86">
      <w:pPr>
        <w:pStyle w:val="NormalWeb"/>
        <w:numPr>
          <w:ilvl w:val="0"/>
          <w:numId w:val="8"/>
        </w:numPr>
        <w:jc w:val="both"/>
        <w:rPr>
          <w:color w:val="000000"/>
          <w:sz w:val="22"/>
          <w:szCs w:val="22"/>
        </w:rPr>
      </w:pPr>
      <w:r w:rsidRPr="00E95C91">
        <w:rPr>
          <w:color w:val="000000"/>
          <w:sz w:val="22"/>
          <w:szCs w:val="22"/>
        </w:rPr>
        <w:t>European Training Foundation (ETF)</w:t>
      </w:r>
      <w:r w:rsidR="006A7299">
        <w:rPr>
          <w:color w:val="000000"/>
          <w:sz w:val="22"/>
          <w:szCs w:val="22"/>
          <w:lang w:val="en-US"/>
        </w:rPr>
        <w:t xml:space="preserve">, </w:t>
      </w:r>
      <w:r w:rsidRPr="00E95C91">
        <w:rPr>
          <w:color w:val="000000"/>
          <w:sz w:val="22"/>
          <w:szCs w:val="22"/>
        </w:rPr>
        <w:t>2020</w:t>
      </w:r>
      <w:r w:rsidR="006A7299">
        <w:rPr>
          <w:color w:val="000000"/>
          <w:sz w:val="22"/>
          <w:szCs w:val="22"/>
          <w:lang w:val="en-US"/>
        </w:rPr>
        <w:t>,</w:t>
      </w:r>
      <w:r w:rsidRPr="00E95C91">
        <w:rPr>
          <w:rStyle w:val="apple-converted-space"/>
          <w:color w:val="000000"/>
          <w:sz w:val="22"/>
          <w:szCs w:val="22"/>
        </w:rPr>
        <w:t> </w:t>
      </w:r>
      <w:r w:rsidRPr="00E95C91">
        <w:rPr>
          <w:rStyle w:val="Emphasis"/>
          <w:color w:val="000000"/>
          <w:sz w:val="22"/>
          <w:szCs w:val="22"/>
        </w:rPr>
        <w:t xml:space="preserve">Public–private partnerships </w:t>
      </w:r>
      <w:r w:rsidR="00977717">
        <w:rPr>
          <w:rStyle w:val="Emphasis"/>
          <w:color w:val="000000"/>
          <w:sz w:val="22"/>
          <w:szCs w:val="22"/>
          <w:lang w:val="en-US"/>
        </w:rPr>
        <w:t>for skills development,</w:t>
      </w:r>
      <w:r w:rsidR="00977717" w:rsidRPr="00977717">
        <w:t xml:space="preserve"> </w:t>
      </w:r>
      <w:r w:rsidR="00977717">
        <w:rPr>
          <w:lang w:val="en-US"/>
        </w:rPr>
        <w:t xml:space="preserve">Available at: </w:t>
      </w:r>
      <w:hyperlink r:id="rId11" w:history="1">
        <w:r w:rsidR="00977717" w:rsidRPr="00901445">
          <w:rPr>
            <w:rStyle w:val="Hyperlink"/>
            <w:sz w:val="22"/>
            <w:szCs w:val="22"/>
          </w:rPr>
          <w:t>https://www.etf.europa.eu/sites/default/files/2021-04/ppps_for_skills_development_summary_note_1.pdf</w:t>
        </w:r>
      </w:hyperlink>
      <w:r w:rsidR="00977717">
        <w:rPr>
          <w:color w:val="000000"/>
          <w:sz w:val="22"/>
          <w:szCs w:val="22"/>
          <w:lang w:val="en-US"/>
        </w:rPr>
        <w:t xml:space="preserve"> </w:t>
      </w:r>
      <w:r w:rsidR="00977717">
        <w:rPr>
          <w:rStyle w:val="y2iqfc"/>
          <w:sz w:val="22"/>
          <w:szCs w:val="22"/>
          <w:lang w:val="en"/>
        </w:rPr>
        <w:t>(</w:t>
      </w:r>
      <w:proofErr w:type="spellStart"/>
      <w:r w:rsidR="00977717">
        <w:rPr>
          <w:rStyle w:val="y2iqfc"/>
          <w:sz w:val="22"/>
          <w:szCs w:val="22"/>
          <w:lang w:val="en"/>
        </w:rPr>
        <w:t>Accesed</w:t>
      </w:r>
      <w:proofErr w:type="spellEnd"/>
      <w:r w:rsidR="00977717">
        <w:rPr>
          <w:rStyle w:val="y2iqfc"/>
          <w:sz w:val="22"/>
          <w:szCs w:val="22"/>
          <w:lang w:val="en"/>
        </w:rPr>
        <w:t>: 9 December 2025)</w:t>
      </w:r>
    </w:p>
    <w:p w14:paraId="07B2C724" w14:textId="73B54AC9" w:rsidR="00E95C91" w:rsidRPr="00E95C91" w:rsidRDefault="00E95C91" w:rsidP="004A2E86">
      <w:pPr>
        <w:pStyle w:val="NormalWeb"/>
        <w:numPr>
          <w:ilvl w:val="0"/>
          <w:numId w:val="8"/>
        </w:numPr>
        <w:jc w:val="both"/>
        <w:rPr>
          <w:color w:val="000000"/>
          <w:sz w:val="22"/>
          <w:szCs w:val="22"/>
        </w:rPr>
      </w:pPr>
      <w:r w:rsidRPr="00E95C91">
        <w:rPr>
          <w:color w:val="000000"/>
          <w:sz w:val="22"/>
          <w:szCs w:val="22"/>
        </w:rPr>
        <w:t>European Commission</w:t>
      </w:r>
      <w:r w:rsidR="006A7299">
        <w:rPr>
          <w:color w:val="000000"/>
          <w:sz w:val="22"/>
          <w:szCs w:val="22"/>
          <w:lang w:val="en-US"/>
        </w:rPr>
        <w:t xml:space="preserve">, </w:t>
      </w:r>
      <w:r w:rsidRPr="00E95C91">
        <w:rPr>
          <w:color w:val="000000"/>
          <w:sz w:val="22"/>
          <w:szCs w:val="22"/>
        </w:rPr>
        <w:t>2004</w:t>
      </w:r>
      <w:r w:rsidR="006A7299">
        <w:rPr>
          <w:color w:val="000000"/>
          <w:sz w:val="22"/>
          <w:szCs w:val="22"/>
          <w:lang w:val="en-US"/>
        </w:rPr>
        <w:t>,</w:t>
      </w:r>
      <w:r w:rsidRPr="00E95C91">
        <w:rPr>
          <w:rStyle w:val="apple-converted-space"/>
          <w:color w:val="000000"/>
          <w:sz w:val="22"/>
          <w:szCs w:val="22"/>
        </w:rPr>
        <w:t> </w:t>
      </w:r>
      <w:r w:rsidRPr="00E95C91">
        <w:rPr>
          <w:rStyle w:val="Emphasis"/>
          <w:color w:val="000000"/>
          <w:sz w:val="22"/>
          <w:szCs w:val="22"/>
        </w:rPr>
        <w:t>Green paper on public–private partnerships</w:t>
      </w:r>
      <w:r w:rsidR="00347251">
        <w:rPr>
          <w:color w:val="000000"/>
          <w:sz w:val="22"/>
          <w:szCs w:val="22"/>
          <w:lang w:val="en-US"/>
        </w:rPr>
        <w:t xml:space="preserve">, </w:t>
      </w:r>
      <w:r w:rsidR="00347251" w:rsidRPr="00347251">
        <w:rPr>
          <w:color w:val="000000" w:themeColor="text1"/>
          <w:sz w:val="22"/>
          <w:szCs w:val="22"/>
          <w:shd w:val="clear" w:color="auto" w:fill="FFFFFF"/>
        </w:rPr>
        <w:t>Document 52004DC0327</w:t>
      </w:r>
      <w:r w:rsidR="00347251" w:rsidRPr="00347251">
        <w:rPr>
          <w:color w:val="000000" w:themeColor="text1"/>
          <w:sz w:val="22"/>
          <w:szCs w:val="22"/>
          <w:shd w:val="clear" w:color="auto" w:fill="FFFFFF"/>
          <w:lang w:val="en-US"/>
        </w:rPr>
        <w:t xml:space="preserve">, Available at </w:t>
      </w:r>
      <w:hyperlink r:id="rId12" w:history="1">
        <w:r w:rsidR="00347251" w:rsidRPr="00347251">
          <w:rPr>
            <w:rStyle w:val="Hyperlink"/>
            <w:color w:val="000000" w:themeColor="text1"/>
            <w:sz w:val="22"/>
            <w:szCs w:val="22"/>
            <w:shd w:val="clear" w:color="auto" w:fill="FFFFFF"/>
            <w:lang w:val="en-US"/>
          </w:rPr>
          <w:t>https://eur-lex.europa.eu/legal-content/EN/TXT/?uri=celex%3A52004DC0327</w:t>
        </w:r>
      </w:hyperlink>
      <w:r w:rsidR="00347251" w:rsidRPr="00347251">
        <w:rPr>
          <w:color w:val="000000" w:themeColor="text1"/>
          <w:sz w:val="22"/>
          <w:szCs w:val="22"/>
          <w:shd w:val="clear" w:color="auto" w:fill="FFFFFF"/>
          <w:lang w:val="en-US"/>
        </w:rPr>
        <w:t xml:space="preserve">, </w:t>
      </w:r>
      <w:proofErr w:type="spellStart"/>
      <w:r w:rsidR="00347251" w:rsidRPr="00347251">
        <w:rPr>
          <w:color w:val="000000" w:themeColor="text1"/>
          <w:sz w:val="22"/>
          <w:szCs w:val="22"/>
          <w:shd w:val="clear" w:color="auto" w:fill="FFFFFF"/>
          <w:lang w:val="en-US"/>
        </w:rPr>
        <w:t>Accesed</w:t>
      </w:r>
      <w:proofErr w:type="spellEnd"/>
      <w:r w:rsidR="00347251" w:rsidRPr="00347251">
        <w:rPr>
          <w:color w:val="000000" w:themeColor="text1"/>
          <w:sz w:val="22"/>
          <w:szCs w:val="22"/>
          <w:shd w:val="clear" w:color="auto" w:fill="FFFFFF"/>
          <w:lang w:val="en-US"/>
        </w:rPr>
        <w:t>: 1 December 2025</w:t>
      </w:r>
    </w:p>
    <w:p w14:paraId="708E7649" w14:textId="09BB18CE" w:rsidR="00E95C91" w:rsidRPr="00E95C91" w:rsidRDefault="00347251" w:rsidP="004A2E86">
      <w:pPr>
        <w:pStyle w:val="NormalWeb"/>
        <w:numPr>
          <w:ilvl w:val="0"/>
          <w:numId w:val="8"/>
        </w:numPr>
        <w:jc w:val="both"/>
        <w:rPr>
          <w:color w:val="000000"/>
          <w:sz w:val="22"/>
          <w:szCs w:val="22"/>
        </w:rPr>
      </w:pPr>
      <w:r>
        <w:rPr>
          <w:color w:val="000000"/>
          <w:sz w:val="22"/>
          <w:szCs w:val="22"/>
          <w:lang w:val="en-US"/>
        </w:rPr>
        <w:t>Eurostat database</w:t>
      </w:r>
      <w:r w:rsidR="00B541EF">
        <w:rPr>
          <w:color w:val="000000"/>
          <w:sz w:val="22"/>
          <w:szCs w:val="22"/>
          <w:lang w:val="en-US"/>
        </w:rPr>
        <w:t>,</w:t>
      </w:r>
      <w:r w:rsidR="0005329B">
        <w:rPr>
          <w:color w:val="000000"/>
          <w:sz w:val="22"/>
          <w:szCs w:val="22"/>
          <w:lang w:val="ro-RO"/>
        </w:rPr>
        <w:t xml:space="preserve"> </w:t>
      </w:r>
      <w:proofErr w:type="spellStart"/>
      <w:r w:rsidR="0005329B">
        <w:rPr>
          <w:color w:val="000000"/>
          <w:sz w:val="22"/>
          <w:szCs w:val="22"/>
          <w:lang w:val="ro-RO"/>
        </w:rPr>
        <w:t>available</w:t>
      </w:r>
      <w:proofErr w:type="spellEnd"/>
      <w:r w:rsidR="0005329B">
        <w:rPr>
          <w:color w:val="000000"/>
          <w:sz w:val="22"/>
          <w:szCs w:val="22"/>
          <w:lang w:val="ro-RO"/>
        </w:rPr>
        <w:t xml:space="preserve"> at</w:t>
      </w:r>
      <w:r w:rsidR="00E95C91" w:rsidRPr="00E95C91">
        <w:rPr>
          <w:color w:val="000000"/>
          <w:sz w:val="22"/>
          <w:szCs w:val="22"/>
        </w:rPr>
        <w:t xml:space="preserve"> </w:t>
      </w:r>
      <w:r w:rsidR="005E1987" w:rsidRPr="005E1987">
        <w:t xml:space="preserve">https://ec.europa.eu/eurostat/databrowser/view/NAMQ_10_GDP__custom_7680558/bookmark/table?lang=en&amp;bookmarkId=a4ce6a9d-7ef1-48f1-a5bf-e23a717fcf75&amp;c=1696497560747 </w:t>
      </w:r>
      <w:r>
        <w:rPr>
          <w:color w:val="000000"/>
          <w:sz w:val="22"/>
          <w:szCs w:val="22"/>
          <w:lang w:val="en-US"/>
        </w:rPr>
        <w:t>(</w:t>
      </w:r>
      <w:proofErr w:type="spellStart"/>
      <w:r w:rsidR="006A7299">
        <w:rPr>
          <w:color w:val="000000"/>
          <w:sz w:val="22"/>
          <w:szCs w:val="22"/>
          <w:lang w:val="en-US"/>
        </w:rPr>
        <w:t>Accesed</w:t>
      </w:r>
      <w:proofErr w:type="spellEnd"/>
      <w:r w:rsidR="006A7299">
        <w:rPr>
          <w:color w:val="000000"/>
          <w:sz w:val="22"/>
          <w:szCs w:val="22"/>
          <w:lang w:val="en-US"/>
        </w:rPr>
        <w:t xml:space="preserve"> : </w:t>
      </w:r>
      <w:r w:rsidR="00977717">
        <w:rPr>
          <w:color w:val="000000"/>
          <w:sz w:val="22"/>
          <w:szCs w:val="22"/>
          <w:lang w:val="en-US"/>
        </w:rPr>
        <w:t>6 December 2025</w:t>
      </w:r>
      <w:r>
        <w:rPr>
          <w:color w:val="000000"/>
          <w:sz w:val="22"/>
          <w:szCs w:val="22"/>
          <w:lang w:val="en-US"/>
        </w:rPr>
        <w:t>)</w:t>
      </w:r>
      <w:r w:rsidR="00977717">
        <w:rPr>
          <w:color w:val="000000"/>
          <w:sz w:val="22"/>
          <w:szCs w:val="22"/>
          <w:lang w:val="en-US"/>
        </w:rPr>
        <w:t>.</w:t>
      </w:r>
    </w:p>
    <w:p w14:paraId="245CAFEE" w14:textId="0460E5B8" w:rsidR="00E95C91" w:rsidRPr="00E95C91" w:rsidRDefault="00E95C91" w:rsidP="004A2E86">
      <w:pPr>
        <w:pStyle w:val="NormalWeb"/>
        <w:numPr>
          <w:ilvl w:val="0"/>
          <w:numId w:val="8"/>
        </w:numPr>
        <w:jc w:val="both"/>
        <w:rPr>
          <w:color w:val="000000"/>
          <w:sz w:val="22"/>
          <w:szCs w:val="22"/>
        </w:rPr>
      </w:pPr>
      <w:r w:rsidRPr="00E95C91">
        <w:rPr>
          <w:color w:val="000000"/>
          <w:sz w:val="22"/>
          <w:szCs w:val="22"/>
        </w:rPr>
        <w:t>Government Emergency Ordinance no. 39/2018 regarding public–private partnerships</w:t>
      </w:r>
      <w:r w:rsidR="00347251">
        <w:rPr>
          <w:color w:val="000000"/>
          <w:sz w:val="22"/>
          <w:szCs w:val="22"/>
          <w:lang w:val="en-US"/>
        </w:rPr>
        <w:t xml:space="preserve">, available at: </w:t>
      </w:r>
      <w:hyperlink r:id="rId13" w:history="1">
        <w:r w:rsidR="00347251" w:rsidRPr="00901445">
          <w:rPr>
            <w:rStyle w:val="Hyperlink"/>
            <w:sz w:val="22"/>
            <w:szCs w:val="22"/>
            <w:lang w:val="en-US"/>
          </w:rPr>
          <w:t>https://legislatie.just.ro/Public/DetaliiDocument/209193</w:t>
        </w:r>
      </w:hyperlink>
      <w:r w:rsidR="00347251">
        <w:rPr>
          <w:color w:val="000000"/>
          <w:sz w:val="22"/>
          <w:szCs w:val="22"/>
          <w:lang w:val="en-US"/>
        </w:rPr>
        <w:t>, (</w:t>
      </w:r>
      <w:proofErr w:type="spellStart"/>
      <w:r w:rsidR="00347251">
        <w:rPr>
          <w:color w:val="000000"/>
          <w:sz w:val="22"/>
          <w:szCs w:val="22"/>
          <w:lang w:val="en-US"/>
        </w:rPr>
        <w:t>Accesed</w:t>
      </w:r>
      <w:proofErr w:type="spellEnd"/>
      <w:r w:rsidR="00347251">
        <w:rPr>
          <w:color w:val="000000"/>
          <w:sz w:val="22"/>
          <w:szCs w:val="22"/>
          <w:lang w:val="en-US"/>
        </w:rPr>
        <w:t xml:space="preserve"> : 6 December 2025).</w:t>
      </w:r>
    </w:p>
    <w:p w14:paraId="12D5F609" w14:textId="6DEB8929" w:rsidR="00E95C91" w:rsidRPr="00E95C91" w:rsidRDefault="00E95C91" w:rsidP="004A2E86">
      <w:pPr>
        <w:pStyle w:val="NormalWeb"/>
        <w:numPr>
          <w:ilvl w:val="0"/>
          <w:numId w:val="8"/>
        </w:numPr>
        <w:jc w:val="both"/>
        <w:rPr>
          <w:color w:val="000000"/>
          <w:sz w:val="22"/>
          <w:szCs w:val="22"/>
        </w:rPr>
      </w:pPr>
      <w:r w:rsidRPr="00E95C91">
        <w:rPr>
          <w:color w:val="000000"/>
          <w:sz w:val="22"/>
          <w:szCs w:val="22"/>
        </w:rPr>
        <w:t xml:space="preserve">Government Emergency Ordinance no. </w:t>
      </w:r>
      <w:r w:rsidR="00B541EF">
        <w:rPr>
          <w:color w:val="000000"/>
          <w:sz w:val="22"/>
          <w:szCs w:val="22"/>
          <w:lang w:val="en-US"/>
        </w:rPr>
        <w:t xml:space="preserve">57/2019 regarding the Administrative Code Available at: </w:t>
      </w:r>
      <w:r w:rsidR="00B541EF" w:rsidRPr="00B541EF">
        <w:rPr>
          <w:color w:val="000000"/>
          <w:sz w:val="22"/>
          <w:szCs w:val="22"/>
        </w:rPr>
        <w:t>https://legislatie.just.ro/Public/DetaliiDocumentAfis/215925</w:t>
      </w:r>
      <w:r w:rsidR="00B541EF">
        <w:rPr>
          <w:color w:val="000000"/>
          <w:sz w:val="22"/>
          <w:szCs w:val="22"/>
          <w:lang w:val="en-US"/>
        </w:rPr>
        <w:t>,</w:t>
      </w:r>
      <w:r w:rsidR="00B541EF" w:rsidRPr="00B541EF">
        <w:rPr>
          <w:color w:val="000000"/>
          <w:sz w:val="22"/>
          <w:szCs w:val="22"/>
        </w:rPr>
        <w:t xml:space="preserve"> </w:t>
      </w:r>
      <w:r w:rsidR="00347251">
        <w:rPr>
          <w:color w:val="000000"/>
          <w:sz w:val="22"/>
          <w:szCs w:val="22"/>
          <w:lang w:val="en-US"/>
        </w:rPr>
        <w:t>(</w:t>
      </w:r>
      <w:proofErr w:type="spellStart"/>
      <w:proofErr w:type="gramStart"/>
      <w:r w:rsidR="00347251">
        <w:rPr>
          <w:color w:val="000000"/>
          <w:sz w:val="22"/>
          <w:szCs w:val="22"/>
          <w:lang w:val="en-US"/>
        </w:rPr>
        <w:t>Accesed</w:t>
      </w:r>
      <w:proofErr w:type="spellEnd"/>
      <w:r w:rsidR="00347251">
        <w:rPr>
          <w:color w:val="000000"/>
          <w:sz w:val="22"/>
          <w:szCs w:val="22"/>
          <w:lang w:val="en-US"/>
        </w:rPr>
        <w:t xml:space="preserve"> :</w:t>
      </w:r>
      <w:proofErr w:type="gramEnd"/>
      <w:r w:rsidR="00347251">
        <w:rPr>
          <w:color w:val="000000"/>
          <w:sz w:val="22"/>
          <w:szCs w:val="22"/>
          <w:lang w:val="en-US"/>
        </w:rPr>
        <w:t xml:space="preserve"> 6 December 2025).</w:t>
      </w:r>
    </w:p>
    <w:p w14:paraId="579504BB" w14:textId="37F24916" w:rsidR="00B541EF" w:rsidRPr="005E1987" w:rsidRDefault="00B541EF" w:rsidP="00861FC1">
      <w:pPr>
        <w:pStyle w:val="NormalWeb"/>
        <w:numPr>
          <w:ilvl w:val="0"/>
          <w:numId w:val="8"/>
        </w:numPr>
        <w:tabs>
          <w:tab w:val="clear" w:pos="720"/>
          <w:tab w:val="num" w:pos="426"/>
        </w:tabs>
        <w:ind w:hanging="294"/>
        <w:jc w:val="both"/>
        <w:rPr>
          <w:color w:val="000000"/>
          <w:sz w:val="22"/>
          <w:szCs w:val="22"/>
        </w:rPr>
      </w:pPr>
      <w:r>
        <w:rPr>
          <w:color w:val="000000"/>
          <w:sz w:val="22"/>
          <w:szCs w:val="22"/>
          <w:lang w:val="en-US"/>
        </w:rPr>
        <w:lastRenderedPageBreak/>
        <w:t xml:space="preserve">The Finance Ministry, Public-Private Partnership Available at: </w:t>
      </w:r>
      <w:hyperlink r:id="rId14" w:history="1">
        <w:r w:rsidRPr="00901445">
          <w:rPr>
            <w:rStyle w:val="Hyperlink"/>
            <w:sz w:val="22"/>
            <w:szCs w:val="22"/>
          </w:rPr>
          <w:t>https://mfinante.gov.ro/parteneriat-public-privat</w:t>
        </w:r>
      </w:hyperlink>
      <w:r>
        <w:rPr>
          <w:color w:val="000000"/>
          <w:sz w:val="22"/>
          <w:szCs w:val="22"/>
          <w:lang w:val="en-US"/>
        </w:rPr>
        <w:t>, (</w:t>
      </w:r>
      <w:proofErr w:type="spellStart"/>
      <w:proofErr w:type="gramStart"/>
      <w:r>
        <w:rPr>
          <w:color w:val="000000"/>
          <w:sz w:val="22"/>
          <w:szCs w:val="22"/>
          <w:lang w:val="en-US"/>
        </w:rPr>
        <w:t>Accesed</w:t>
      </w:r>
      <w:proofErr w:type="spellEnd"/>
      <w:r>
        <w:rPr>
          <w:color w:val="000000"/>
          <w:sz w:val="22"/>
          <w:szCs w:val="22"/>
          <w:lang w:val="en-US"/>
        </w:rPr>
        <w:t xml:space="preserve"> :</w:t>
      </w:r>
      <w:proofErr w:type="gramEnd"/>
      <w:r>
        <w:rPr>
          <w:color w:val="000000"/>
          <w:sz w:val="22"/>
          <w:szCs w:val="22"/>
          <w:lang w:val="en-US"/>
        </w:rPr>
        <w:t xml:space="preserve"> 6 December 2025).</w:t>
      </w:r>
    </w:p>
    <w:p w14:paraId="0EABBE14" w14:textId="6C7174A6" w:rsidR="00E95C91" w:rsidRPr="00977717" w:rsidRDefault="00E95C91" w:rsidP="00861FC1">
      <w:pPr>
        <w:pStyle w:val="HTMLPreformatted"/>
        <w:numPr>
          <w:ilvl w:val="0"/>
          <w:numId w:val="8"/>
        </w:numPr>
        <w:tabs>
          <w:tab w:val="clear" w:pos="720"/>
          <w:tab w:val="num" w:pos="426"/>
        </w:tabs>
        <w:ind w:hanging="294"/>
        <w:rPr>
          <w:rFonts w:ascii="Times New Roman" w:hAnsi="Times New Roman" w:cs="Times New Roman"/>
          <w:sz w:val="22"/>
          <w:szCs w:val="22"/>
        </w:rPr>
      </w:pPr>
      <w:r w:rsidRPr="00977717">
        <w:rPr>
          <w:rFonts w:ascii="Times New Roman" w:hAnsi="Times New Roman" w:cs="Times New Roman"/>
          <w:color w:val="000000"/>
          <w:sz w:val="22"/>
          <w:szCs w:val="22"/>
        </w:rPr>
        <w:t>Jaba, E.</w:t>
      </w:r>
      <w:r w:rsidR="006A7299" w:rsidRPr="00977717">
        <w:rPr>
          <w:rFonts w:ascii="Times New Roman" w:hAnsi="Times New Roman" w:cs="Times New Roman"/>
          <w:color w:val="000000"/>
          <w:sz w:val="22"/>
          <w:szCs w:val="22"/>
          <w:lang w:val="ro-RO"/>
        </w:rPr>
        <w:t xml:space="preserve">, </w:t>
      </w:r>
      <w:r w:rsidRPr="00977717">
        <w:rPr>
          <w:rFonts w:ascii="Times New Roman" w:hAnsi="Times New Roman" w:cs="Times New Roman"/>
          <w:color w:val="000000"/>
          <w:sz w:val="22"/>
          <w:szCs w:val="22"/>
        </w:rPr>
        <w:t>2002</w:t>
      </w:r>
      <w:r w:rsidR="006A7299" w:rsidRPr="00977717">
        <w:rPr>
          <w:rFonts w:ascii="Times New Roman" w:hAnsi="Times New Roman" w:cs="Times New Roman"/>
          <w:color w:val="000000"/>
          <w:sz w:val="22"/>
          <w:szCs w:val="22"/>
          <w:lang w:val="ro-RO"/>
        </w:rPr>
        <w:t>,</w:t>
      </w:r>
      <w:r w:rsidRPr="00977717">
        <w:rPr>
          <w:rStyle w:val="apple-converted-space"/>
          <w:rFonts w:ascii="Times New Roman" w:hAnsi="Times New Roman" w:cs="Times New Roman"/>
          <w:color w:val="000000"/>
          <w:sz w:val="22"/>
          <w:szCs w:val="22"/>
        </w:rPr>
        <w:t> </w:t>
      </w:r>
      <w:r w:rsidRPr="00977717">
        <w:rPr>
          <w:rStyle w:val="Emphasis"/>
          <w:rFonts w:ascii="Times New Roman" w:hAnsi="Times New Roman" w:cs="Times New Roman"/>
          <w:color w:val="000000"/>
          <w:sz w:val="22"/>
          <w:szCs w:val="22"/>
        </w:rPr>
        <w:t>Statistică</w:t>
      </w:r>
      <w:r w:rsidR="00977717" w:rsidRPr="00977717">
        <w:rPr>
          <w:rStyle w:val="Emphasis"/>
          <w:rFonts w:ascii="Times New Roman" w:hAnsi="Times New Roman" w:cs="Times New Roman"/>
          <w:color w:val="000000"/>
          <w:sz w:val="22"/>
          <w:szCs w:val="22"/>
          <w:lang w:val="en-US"/>
        </w:rPr>
        <w:t xml:space="preserve"> [Statistics]</w:t>
      </w:r>
      <w:r w:rsidRPr="00977717">
        <w:rPr>
          <w:rStyle w:val="apple-converted-space"/>
          <w:rFonts w:ascii="Times New Roman" w:hAnsi="Times New Roman" w:cs="Times New Roman"/>
          <w:color w:val="000000"/>
          <w:sz w:val="22"/>
          <w:szCs w:val="22"/>
        </w:rPr>
        <w:t> </w:t>
      </w:r>
      <w:r w:rsidRPr="00977717">
        <w:rPr>
          <w:rFonts w:ascii="Times New Roman" w:hAnsi="Times New Roman" w:cs="Times New Roman"/>
          <w:color w:val="000000"/>
          <w:sz w:val="22"/>
          <w:szCs w:val="22"/>
        </w:rPr>
        <w:t>(3rd ed.)</w:t>
      </w:r>
      <w:r w:rsidR="00977717" w:rsidRPr="00977717">
        <w:rPr>
          <w:rFonts w:ascii="Times New Roman" w:hAnsi="Times New Roman" w:cs="Times New Roman"/>
          <w:color w:val="000000"/>
          <w:sz w:val="22"/>
          <w:szCs w:val="22"/>
          <w:lang w:val="en-US"/>
        </w:rPr>
        <w:t xml:space="preserve">, </w:t>
      </w:r>
      <w:r w:rsidR="00977717" w:rsidRPr="00977717">
        <w:rPr>
          <w:rStyle w:val="y2iqfc"/>
          <w:rFonts w:ascii="Times New Roman" w:hAnsi="Times New Roman" w:cs="Times New Roman"/>
          <w:sz w:val="22"/>
          <w:szCs w:val="22"/>
          <w:lang w:val="en"/>
        </w:rPr>
        <w:t>Bucharest: Economic Publishing House.</w:t>
      </w:r>
    </w:p>
    <w:p w14:paraId="6DA7C7B9" w14:textId="05087070" w:rsidR="00E95C91" w:rsidRPr="00977717" w:rsidRDefault="00E95C91" w:rsidP="00861FC1">
      <w:pPr>
        <w:pStyle w:val="NormalWeb"/>
        <w:numPr>
          <w:ilvl w:val="0"/>
          <w:numId w:val="8"/>
        </w:numPr>
        <w:tabs>
          <w:tab w:val="clear" w:pos="720"/>
          <w:tab w:val="num" w:pos="426"/>
        </w:tabs>
        <w:spacing w:before="0" w:beforeAutospacing="0" w:after="0" w:afterAutospacing="0"/>
        <w:ind w:hanging="294"/>
        <w:jc w:val="both"/>
        <w:rPr>
          <w:color w:val="000000"/>
          <w:sz w:val="22"/>
          <w:szCs w:val="22"/>
        </w:rPr>
      </w:pPr>
      <w:r w:rsidRPr="00977717">
        <w:rPr>
          <w:color w:val="000000"/>
          <w:sz w:val="22"/>
          <w:szCs w:val="22"/>
        </w:rPr>
        <w:t>Jemna, D.</w:t>
      </w:r>
      <w:r w:rsidR="006A7299" w:rsidRPr="00977717">
        <w:rPr>
          <w:color w:val="000000"/>
          <w:sz w:val="22"/>
          <w:szCs w:val="22"/>
          <w:lang w:val="ro-RO"/>
        </w:rPr>
        <w:t xml:space="preserve">, </w:t>
      </w:r>
      <w:r w:rsidRPr="00977717">
        <w:rPr>
          <w:color w:val="000000"/>
          <w:sz w:val="22"/>
          <w:szCs w:val="22"/>
        </w:rPr>
        <w:t>2012</w:t>
      </w:r>
      <w:r w:rsidR="006A7299" w:rsidRPr="00977717">
        <w:rPr>
          <w:color w:val="000000"/>
          <w:sz w:val="22"/>
          <w:szCs w:val="22"/>
          <w:lang w:val="ro-RO"/>
        </w:rPr>
        <w:t>,</w:t>
      </w:r>
      <w:r w:rsidRPr="00977717">
        <w:rPr>
          <w:rStyle w:val="apple-converted-space"/>
          <w:color w:val="000000"/>
          <w:sz w:val="22"/>
          <w:szCs w:val="22"/>
        </w:rPr>
        <w:t> </w:t>
      </w:r>
      <w:r w:rsidRPr="00977717">
        <w:rPr>
          <w:rStyle w:val="Emphasis"/>
          <w:color w:val="000000"/>
          <w:sz w:val="22"/>
          <w:szCs w:val="22"/>
        </w:rPr>
        <w:t>Econometrie</w:t>
      </w:r>
      <w:r w:rsidR="00977717" w:rsidRPr="00977717">
        <w:rPr>
          <w:color w:val="000000"/>
          <w:sz w:val="22"/>
          <w:szCs w:val="22"/>
          <w:lang w:val="en-US"/>
        </w:rPr>
        <w:t xml:space="preserve"> [Econometrics]</w:t>
      </w:r>
      <w:r w:rsidRPr="00977717">
        <w:rPr>
          <w:color w:val="000000"/>
          <w:sz w:val="22"/>
          <w:szCs w:val="22"/>
        </w:rPr>
        <w:t xml:space="preserve"> Iași: Sedcom Libri</w:t>
      </w:r>
      <w:r w:rsidR="00977717" w:rsidRPr="00977717">
        <w:rPr>
          <w:color w:val="000000"/>
          <w:sz w:val="22"/>
          <w:szCs w:val="22"/>
          <w:lang w:val="en-US"/>
        </w:rPr>
        <w:t xml:space="preserve"> </w:t>
      </w:r>
      <w:r w:rsidR="00977717" w:rsidRPr="00977717">
        <w:rPr>
          <w:rStyle w:val="y2iqfc"/>
          <w:sz w:val="22"/>
          <w:szCs w:val="22"/>
          <w:lang w:val="en"/>
        </w:rPr>
        <w:t>Publishing House.</w:t>
      </w:r>
    </w:p>
    <w:p w14:paraId="58A608D4" w14:textId="76BB04BC" w:rsidR="00E95C91" w:rsidRPr="00977717" w:rsidRDefault="00E95C91" w:rsidP="00861FC1">
      <w:pPr>
        <w:pStyle w:val="HTMLPreformatted"/>
        <w:numPr>
          <w:ilvl w:val="0"/>
          <w:numId w:val="9"/>
        </w:numPr>
        <w:tabs>
          <w:tab w:val="num" w:pos="426"/>
        </w:tabs>
        <w:ind w:hanging="294"/>
        <w:rPr>
          <w:rFonts w:ascii="Times New Roman" w:hAnsi="Times New Roman" w:cs="Times New Roman"/>
          <w:sz w:val="22"/>
          <w:szCs w:val="22"/>
        </w:rPr>
      </w:pPr>
      <w:r w:rsidRPr="00977717">
        <w:rPr>
          <w:rFonts w:ascii="Times New Roman" w:hAnsi="Times New Roman" w:cs="Times New Roman"/>
          <w:color w:val="000000"/>
          <w:sz w:val="22"/>
          <w:szCs w:val="22"/>
        </w:rPr>
        <w:t>Pintilescu, C.</w:t>
      </w:r>
      <w:r w:rsidR="006A7299" w:rsidRPr="00977717">
        <w:rPr>
          <w:rFonts w:ascii="Times New Roman" w:hAnsi="Times New Roman" w:cs="Times New Roman"/>
          <w:color w:val="000000"/>
          <w:sz w:val="22"/>
          <w:szCs w:val="22"/>
          <w:lang w:val="ro-RO"/>
        </w:rPr>
        <w:t xml:space="preserve">, </w:t>
      </w:r>
      <w:r w:rsidRPr="00977717">
        <w:rPr>
          <w:rFonts w:ascii="Times New Roman" w:hAnsi="Times New Roman" w:cs="Times New Roman"/>
          <w:color w:val="000000"/>
          <w:sz w:val="22"/>
          <w:szCs w:val="22"/>
        </w:rPr>
        <w:t>2007</w:t>
      </w:r>
      <w:r w:rsidR="006A7299" w:rsidRPr="00977717">
        <w:rPr>
          <w:rFonts w:ascii="Times New Roman" w:hAnsi="Times New Roman" w:cs="Times New Roman"/>
          <w:color w:val="000000"/>
          <w:sz w:val="22"/>
          <w:szCs w:val="22"/>
          <w:lang w:val="ro-RO"/>
        </w:rPr>
        <w:t>,</w:t>
      </w:r>
      <w:r w:rsidRPr="00977717">
        <w:rPr>
          <w:rStyle w:val="apple-converted-space"/>
          <w:rFonts w:ascii="Times New Roman" w:hAnsi="Times New Roman" w:cs="Times New Roman"/>
          <w:color w:val="000000"/>
          <w:sz w:val="22"/>
          <w:szCs w:val="22"/>
        </w:rPr>
        <w:t> </w:t>
      </w:r>
      <w:r w:rsidRPr="00977717">
        <w:rPr>
          <w:rStyle w:val="Emphasis"/>
          <w:rFonts w:ascii="Times New Roman" w:hAnsi="Times New Roman" w:cs="Times New Roman"/>
          <w:color w:val="000000"/>
          <w:sz w:val="22"/>
          <w:szCs w:val="22"/>
        </w:rPr>
        <w:t>Analiza multivariată a datelor</w:t>
      </w:r>
      <w:r w:rsidR="00977717" w:rsidRPr="00977717">
        <w:rPr>
          <w:rStyle w:val="Emphasis"/>
          <w:rFonts w:ascii="Times New Roman" w:hAnsi="Times New Roman" w:cs="Times New Roman"/>
          <w:color w:val="000000"/>
          <w:sz w:val="22"/>
          <w:szCs w:val="22"/>
          <w:lang w:val="en-US"/>
        </w:rPr>
        <w:t xml:space="preserve"> [</w:t>
      </w:r>
      <w:r w:rsidR="00977717" w:rsidRPr="00977717">
        <w:rPr>
          <w:rStyle w:val="y2iqfc"/>
          <w:rFonts w:ascii="Times New Roman" w:hAnsi="Times New Roman" w:cs="Times New Roman"/>
          <w:sz w:val="22"/>
          <w:szCs w:val="22"/>
          <w:lang w:val="en"/>
        </w:rPr>
        <w:t>Multivariate data analysis</w:t>
      </w:r>
      <w:r w:rsidR="00977717" w:rsidRPr="00977717">
        <w:rPr>
          <w:rFonts w:ascii="Times New Roman" w:hAnsi="Times New Roman" w:cs="Times New Roman"/>
          <w:color w:val="000000"/>
          <w:sz w:val="22"/>
          <w:szCs w:val="22"/>
          <w:lang w:val="en-US"/>
        </w:rPr>
        <w:t>]</w:t>
      </w:r>
      <w:r w:rsidRPr="00977717">
        <w:rPr>
          <w:rFonts w:ascii="Times New Roman" w:hAnsi="Times New Roman" w:cs="Times New Roman"/>
          <w:color w:val="000000"/>
          <w:sz w:val="22"/>
          <w:szCs w:val="22"/>
        </w:rPr>
        <w:t>. Iași: „Al. I. Cuza”</w:t>
      </w:r>
      <w:r w:rsidR="00977717">
        <w:rPr>
          <w:rFonts w:ascii="Times New Roman" w:hAnsi="Times New Roman" w:cs="Times New Roman"/>
          <w:color w:val="000000"/>
          <w:sz w:val="22"/>
          <w:szCs w:val="22"/>
          <w:lang w:val="en-US"/>
        </w:rPr>
        <w:t xml:space="preserve"> University </w:t>
      </w:r>
      <w:r w:rsidR="00977717" w:rsidRPr="00977717">
        <w:rPr>
          <w:rStyle w:val="y2iqfc"/>
          <w:rFonts w:ascii="Times New Roman" w:hAnsi="Times New Roman" w:cs="Times New Roman"/>
          <w:sz w:val="22"/>
          <w:szCs w:val="22"/>
          <w:lang w:val="en"/>
        </w:rPr>
        <w:t>Publishing House.</w:t>
      </w:r>
    </w:p>
    <w:p w14:paraId="728BA98B" w14:textId="0E2E167C" w:rsidR="00E95C91" w:rsidRPr="00861FC1" w:rsidRDefault="00E95C91" w:rsidP="00861FC1">
      <w:pPr>
        <w:pStyle w:val="ListParagraph"/>
        <w:numPr>
          <w:ilvl w:val="0"/>
          <w:numId w:val="9"/>
        </w:numPr>
        <w:spacing w:after="0" w:line="240" w:lineRule="auto"/>
        <w:ind w:right="57"/>
        <w:jc w:val="both"/>
        <w:rPr>
          <w:rFonts w:ascii="Times New Roman" w:hAnsi="Times New Roman" w:cs="Times New Roman"/>
          <w:lang w:val="en-US"/>
        </w:rPr>
      </w:pPr>
      <w:r w:rsidRPr="00861FC1">
        <w:rPr>
          <w:rFonts w:ascii="Times New Roman" w:hAnsi="Times New Roman" w:cs="Times New Roman"/>
          <w:color w:val="000000"/>
        </w:rPr>
        <w:t>Yescombe, E. R.</w:t>
      </w:r>
      <w:r w:rsidR="006A7299" w:rsidRPr="00861FC1">
        <w:rPr>
          <w:rFonts w:ascii="Times New Roman" w:hAnsi="Times New Roman" w:cs="Times New Roman"/>
          <w:color w:val="000000"/>
        </w:rPr>
        <w:t xml:space="preserve">, </w:t>
      </w:r>
      <w:r w:rsidRPr="00861FC1">
        <w:rPr>
          <w:rFonts w:ascii="Times New Roman" w:hAnsi="Times New Roman" w:cs="Times New Roman"/>
          <w:color w:val="000000"/>
        </w:rPr>
        <w:t>2007</w:t>
      </w:r>
      <w:r w:rsidR="006A7299" w:rsidRPr="00861FC1">
        <w:rPr>
          <w:rFonts w:ascii="Times New Roman" w:hAnsi="Times New Roman" w:cs="Times New Roman"/>
          <w:color w:val="000000"/>
        </w:rPr>
        <w:t>,</w:t>
      </w:r>
      <w:r w:rsidRPr="00861FC1">
        <w:rPr>
          <w:rStyle w:val="apple-converted-space"/>
          <w:rFonts w:ascii="Times New Roman" w:hAnsi="Times New Roman" w:cs="Times New Roman"/>
          <w:color w:val="000000"/>
        </w:rPr>
        <w:t> </w:t>
      </w:r>
      <w:r w:rsidRPr="00861FC1">
        <w:rPr>
          <w:rStyle w:val="Emphasis"/>
          <w:rFonts w:ascii="Times New Roman" w:hAnsi="Times New Roman" w:cs="Times New Roman"/>
          <w:color w:val="000000"/>
        </w:rPr>
        <w:t>Public–private partnerships: Principles of policy and finance</w:t>
      </w:r>
      <w:r w:rsidRPr="00861FC1">
        <w:rPr>
          <w:rFonts w:ascii="Times New Roman" w:hAnsi="Times New Roman" w:cs="Times New Roman"/>
          <w:color w:val="000000"/>
        </w:rPr>
        <w:t>.</w:t>
      </w:r>
      <w:r w:rsidR="005E1987" w:rsidRPr="00861FC1">
        <w:rPr>
          <w:rFonts w:ascii="Times New Roman" w:hAnsi="Times New Roman" w:cs="Times New Roman"/>
        </w:rPr>
        <w:t xml:space="preserve"> </w:t>
      </w:r>
      <w:hyperlink r:id="rId15" w:history="1">
        <w:r w:rsidR="00861FC1" w:rsidRPr="00861FC1">
          <w:rPr>
            <w:rStyle w:val="Hyperlink"/>
            <w:rFonts w:ascii="Arial" w:hAnsi="Arial" w:cs="Arial"/>
            <w:sz w:val="21"/>
            <w:szCs w:val="21"/>
          </w:rPr>
          <w:t>https://doi.org/10.1016/B978-075068054-7.50025-3</w:t>
        </w:r>
      </w:hyperlink>
      <w:r w:rsidR="005E1987" w:rsidRPr="00861FC1">
        <w:rPr>
          <w:lang w:val="en-US"/>
        </w:rPr>
        <w:t xml:space="preserve">. </w:t>
      </w:r>
      <w:r w:rsidR="005E1987" w:rsidRPr="00861FC1">
        <w:rPr>
          <w:rFonts w:ascii="Times New Roman" w:hAnsi="Times New Roman" w:cs="Times New Roman"/>
          <w:lang w:val="en-US"/>
        </w:rPr>
        <w:t xml:space="preserve">Available at: </w:t>
      </w:r>
      <w:hyperlink r:id="rId16" w:history="1">
        <w:r w:rsidR="005E1987" w:rsidRPr="00861FC1">
          <w:rPr>
            <w:rStyle w:val="Hyperlink"/>
            <w:rFonts w:ascii="Times New Roman" w:hAnsi="Times New Roman" w:cs="Times New Roman"/>
          </w:rPr>
          <w:t>https://www.sciencedirect.com/book/monograph/9780750680547/public-private-partnerships</w:t>
        </w:r>
      </w:hyperlink>
      <w:r w:rsidR="005E1987" w:rsidRPr="00861FC1">
        <w:rPr>
          <w:rFonts w:ascii="Times New Roman" w:hAnsi="Times New Roman" w:cs="Times New Roman"/>
        </w:rPr>
        <w:t xml:space="preserve">, </w:t>
      </w:r>
      <w:r w:rsidR="00236872">
        <w:rPr>
          <w:rFonts w:ascii="Times New Roman" w:hAnsi="Times New Roman" w:cs="Times New Roman"/>
        </w:rPr>
        <w:t>(</w:t>
      </w:r>
      <w:proofErr w:type="spellStart"/>
      <w:r w:rsidR="005E1987" w:rsidRPr="00861FC1">
        <w:rPr>
          <w:rFonts w:ascii="Times New Roman" w:hAnsi="Times New Roman" w:cs="Times New Roman"/>
        </w:rPr>
        <w:t>Accesed</w:t>
      </w:r>
      <w:proofErr w:type="spellEnd"/>
      <w:r w:rsidR="005E1987" w:rsidRPr="00861FC1">
        <w:rPr>
          <w:rFonts w:ascii="Times New Roman" w:hAnsi="Times New Roman" w:cs="Times New Roman"/>
        </w:rPr>
        <w:t xml:space="preserve"> 9 </w:t>
      </w:r>
      <w:proofErr w:type="spellStart"/>
      <w:r w:rsidR="005E1987" w:rsidRPr="00861FC1">
        <w:rPr>
          <w:rFonts w:ascii="Times New Roman" w:hAnsi="Times New Roman" w:cs="Times New Roman"/>
        </w:rPr>
        <w:t>December</w:t>
      </w:r>
      <w:proofErr w:type="spellEnd"/>
      <w:r w:rsidR="005E1987" w:rsidRPr="00861FC1">
        <w:rPr>
          <w:rFonts w:ascii="Times New Roman" w:hAnsi="Times New Roman" w:cs="Times New Roman"/>
        </w:rPr>
        <w:t xml:space="preserve"> 2025) </w:t>
      </w:r>
    </w:p>
    <w:p w14:paraId="72F42A56" w14:textId="4FA36CB0" w:rsidR="00E95C91" w:rsidRPr="005E1987" w:rsidRDefault="00E95C91" w:rsidP="00861FC1">
      <w:pPr>
        <w:pStyle w:val="NormalWeb"/>
        <w:numPr>
          <w:ilvl w:val="0"/>
          <w:numId w:val="8"/>
        </w:numPr>
        <w:tabs>
          <w:tab w:val="clear" w:pos="720"/>
          <w:tab w:val="num" w:pos="426"/>
        </w:tabs>
        <w:spacing w:before="0" w:beforeAutospacing="0" w:after="0" w:afterAutospacing="0"/>
        <w:ind w:hanging="294"/>
        <w:jc w:val="both"/>
        <w:rPr>
          <w:color w:val="000000"/>
          <w:sz w:val="21"/>
          <w:szCs w:val="21"/>
        </w:rPr>
      </w:pPr>
      <w:r w:rsidRPr="00E95C91">
        <w:rPr>
          <w:color w:val="000000"/>
          <w:sz w:val="22"/>
          <w:szCs w:val="22"/>
        </w:rPr>
        <w:t>Yescombe, E. R., &amp; Farquharson, E.</w:t>
      </w:r>
      <w:r w:rsidR="006A7299">
        <w:rPr>
          <w:color w:val="000000"/>
          <w:sz w:val="22"/>
          <w:szCs w:val="22"/>
          <w:lang w:val="ro-RO"/>
        </w:rPr>
        <w:t xml:space="preserve">, </w:t>
      </w:r>
      <w:r w:rsidRPr="00E95C91">
        <w:rPr>
          <w:color w:val="000000"/>
          <w:sz w:val="22"/>
          <w:szCs w:val="22"/>
        </w:rPr>
        <w:t>2018</w:t>
      </w:r>
      <w:r w:rsidR="006A7299">
        <w:rPr>
          <w:color w:val="000000"/>
          <w:sz w:val="22"/>
          <w:szCs w:val="22"/>
          <w:lang w:val="ro-RO"/>
        </w:rPr>
        <w:t>,</w:t>
      </w:r>
      <w:r w:rsidRPr="00E95C91">
        <w:rPr>
          <w:rStyle w:val="apple-converted-space"/>
          <w:color w:val="000000"/>
          <w:sz w:val="22"/>
          <w:szCs w:val="22"/>
        </w:rPr>
        <w:t> </w:t>
      </w:r>
      <w:r w:rsidRPr="00E95C91">
        <w:rPr>
          <w:rStyle w:val="Emphasis"/>
          <w:color w:val="000000"/>
          <w:sz w:val="22"/>
          <w:szCs w:val="22"/>
        </w:rPr>
        <w:t xml:space="preserve">Public–private partnerships for infrastructure </w:t>
      </w:r>
      <w:r w:rsidR="00000000">
        <w:fldChar w:fldCharType="begin"/>
      </w:r>
      <w:r w:rsidR="00000000">
        <w:instrText>HYPERLINK "https://doi.org/10.1016/B978-0-08-100766-2.00002-4" \t "_blank"</w:instrText>
      </w:r>
      <w:r w:rsidR="00000000">
        <w:fldChar w:fldCharType="separate"/>
      </w:r>
      <w:r w:rsidR="005E1987">
        <w:rPr>
          <w:rStyle w:val="Hyperlink"/>
          <w:rFonts w:ascii="Arial" w:hAnsi="Arial" w:cs="Arial"/>
          <w:sz w:val="21"/>
          <w:szCs w:val="21"/>
        </w:rPr>
        <w:t>https://doi.org/10.1016/B978-0-08-100766-2.00002-4</w:t>
      </w:r>
      <w:r w:rsidR="00000000">
        <w:rPr>
          <w:rStyle w:val="Hyperlink"/>
          <w:rFonts w:ascii="Arial" w:hAnsi="Arial" w:cs="Arial"/>
          <w:sz w:val="21"/>
          <w:szCs w:val="21"/>
        </w:rPr>
        <w:fldChar w:fldCharType="end"/>
      </w:r>
      <w:r w:rsidR="005E1987">
        <w:rPr>
          <w:lang w:val="en-US"/>
        </w:rPr>
        <w:t xml:space="preserve">, </w:t>
      </w:r>
      <w:r w:rsidR="005E1987">
        <w:rPr>
          <w:color w:val="000000"/>
          <w:sz w:val="22"/>
          <w:szCs w:val="22"/>
          <w:lang w:val="en-US"/>
        </w:rPr>
        <w:t>available at</w:t>
      </w:r>
      <w:r w:rsidR="005E1987">
        <w:rPr>
          <w:lang w:val="en-US"/>
        </w:rPr>
        <w:t xml:space="preserve">: </w:t>
      </w:r>
      <w:hyperlink r:id="rId17" w:history="1">
        <w:r w:rsidR="00236872" w:rsidRPr="00901445">
          <w:rPr>
            <w:rStyle w:val="Hyperlink"/>
            <w:sz w:val="22"/>
            <w:szCs w:val="22"/>
            <w:lang w:val="en-US"/>
          </w:rPr>
          <w:t>https://www.researchgate.net/publication/335586489_Public-Private_Partnerships_for_Infrastructure_Principles_of_Policy_Finance</w:t>
        </w:r>
      </w:hyperlink>
      <w:r w:rsidR="005E1987">
        <w:rPr>
          <w:lang w:val="en-US"/>
        </w:rPr>
        <w:t>,</w:t>
      </w:r>
      <w:r w:rsidR="00236872">
        <w:rPr>
          <w:lang w:val="en-US"/>
        </w:rPr>
        <w:t xml:space="preserve"> </w:t>
      </w:r>
      <w:r w:rsidR="005E1987" w:rsidRPr="005E1987">
        <w:rPr>
          <w:sz w:val="22"/>
          <w:szCs w:val="22"/>
          <w:lang w:val="en-US"/>
        </w:rPr>
        <w:t>(</w:t>
      </w:r>
      <w:proofErr w:type="spellStart"/>
      <w:r w:rsidR="005E1987" w:rsidRPr="005E1987">
        <w:rPr>
          <w:sz w:val="22"/>
          <w:szCs w:val="22"/>
          <w:lang w:val="en-US"/>
        </w:rPr>
        <w:t>accesed</w:t>
      </w:r>
      <w:proofErr w:type="spellEnd"/>
      <w:r w:rsidR="005E1987" w:rsidRPr="005E1987">
        <w:rPr>
          <w:sz w:val="22"/>
          <w:szCs w:val="22"/>
          <w:lang w:val="en-US"/>
        </w:rPr>
        <w:t>: 29 November 2025)</w:t>
      </w:r>
      <w:r w:rsidR="005E1987">
        <w:rPr>
          <w:sz w:val="22"/>
          <w:szCs w:val="22"/>
          <w:lang w:val="en-US"/>
        </w:rPr>
        <w:t>.</w:t>
      </w:r>
    </w:p>
    <w:p w14:paraId="2DE0DCB6" w14:textId="77777777" w:rsidR="00E54B7E" w:rsidRPr="00E95C91" w:rsidRDefault="00E54B7E" w:rsidP="00861FC1">
      <w:pPr>
        <w:widowControl w:val="0"/>
        <w:tabs>
          <w:tab w:val="num" w:pos="426"/>
        </w:tabs>
        <w:overflowPunct w:val="0"/>
        <w:autoSpaceDE w:val="0"/>
        <w:autoSpaceDN w:val="0"/>
        <w:adjustRightInd w:val="0"/>
        <w:spacing w:after="0" w:line="240" w:lineRule="auto"/>
        <w:ind w:hanging="294"/>
        <w:jc w:val="both"/>
        <w:rPr>
          <w:rFonts w:ascii="Times New Roman" w:hAnsi="Times New Roman" w:cs="Times New Roman"/>
          <w:sz w:val="21"/>
          <w:szCs w:val="21"/>
          <w:lang w:val="en-US"/>
        </w:rPr>
      </w:pPr>
    </w:p>
    <w:sectPr w:rsidR="00E54B7E" w:rsidRPr="00E95C91" w:rsidSect="00944F7E">
      <w:type w:val="continuous"/>
      <w:pgSz w:w="11907" w:h="16840" w:code="9"/>
      <w:pgMar w:top="1418" w:right="1418"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85098" w14:textId="77777777" w:rsidR="00D032CB" w:rsidRDefault="00D032CB">
      <w:r>
        <w:separator/>
      </w:r>
    </w:p>
  </w:endnote>
  <w:endnote w:type="continuationSeparator" w:id="0">
    <w:p w14:paraId="6444DDCA" w14:textId="77777777" w:rsidR="00D032CB" w:rsidRDefault="00D0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BEA3" w14:textId="77777777" w:rsidR="00D032CB" w:rsidRDefault="00D032CB">
      <w:r>
        <w:separator/>
      </w:r>
    </w:p>
  </w:footnote>
  <w:footnote w:type="continuationSeparator" w:id="0">
    <w:p w14:paraId="06B4F891" w14:textId="77777777" w:rsidR="00D032CB" w:rsidRDefault="00D03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C990504E"/>
    <w:lvl w:ilvl="0" w:tplc="80A4B884">
      <w:start w:val="1"/>
      <w:numFmt w:val="decimal"/>
      <w:lvlText w:val="%1."/>
      <w:lvlJc w:val="center"/>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32532"/>
    <w:multiLevelType w:val="hybridMultilevel"/>
    <w:tmpl w:val="508EA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75080D"/>
    <w:multiLevelType w:val="hybridMultilevel"/>
    <w:tmpl w:val="08064016"/>
    <w:lvl w:ilvl="0" w:tplc="04180001">
      <w:start w:val="1"/>
      <w:numFmt w:val="bullet"/>
      <w:lvlText w:val=""/>
      <w:lvlJc w:val="left"/>
      <w:pPr>
        <w:tabs>
          <w:tab w:val="num" w:pos="720"/>
        </w:tabs>
        <w:ind w:left="720" w:hanging="360"/>
      </w:pPr>
      <w:rPr>
        <w:rFonts w:ascii="Symbol" w:hAnsi="Symbol" w:cs="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42F4731"/>
    <w:multiLevelType w:val="hybridMultilevel"/>
    <w:tmpl w:val="D39A4BA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2A6C301A"/>
    <w:multiLevelType w:val="hybridMultilevel"/>
    <w:tmpl w:val="2CDAF0E0"/>
    <w:lvl w:ilvl="0" w:tplc="0418000D">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 w15:restartNumberingAfterBreak="0">
    <w:nsid w:val="2F0A5FC4"/>
    <w:multiLevelType w:val="hybridMultilevel"/>
    <w:tmpl w:val="7236F5C8"/>
    <w:lvl w:ilvl="0" w:tplc="24D8D9D6">
      <w:start w:val="1"/>
      <w:numFmt w:val="decimal"/>
      <w:lvlText w:val="%1."/>
      <w:lvlJc w:val="righ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58078EB"/>
    <w:multiLevelType w:val="hybridMultilevel"/>
    <w:tmpl w:val="3AEA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B6918"/>
    <w:multiLevelType w:val="hybridMultilevel"/>
    <w:tmpl w:val="FB849EA8"/>
    <w:lvl w:ilvl="0" w:tplc="B9C076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796456C"/>
    <w:multiLevelType w:val="multilevel"/>
    <w:tmpl w:val="2B166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95BD7"/>
    <w:multiLevelType w:val="multilevel"/>
    <w:tmpl w:val="3DF8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611740">
    <w:abstractNumId w:val="2"/>
  </w:num>
  <w:num w:numId="2" w16cid:durableId="1410032216">
    <w:abstractNumId w:val="7"/>
  </w:num>
  <w:num w:numId="3" w16cid:durableId="651569426">
    <w:abstractNumId w:val="0"/>
  </w:num>
  <w:num w:numId="4" w16cid:durableId="1232354771">
    <w:abstractNumId w:val="5"/>
  </w:num>
  <w:num w:numId="5" w16cid:durableId="1643461962">
    <w:abstractNumId w:val="8"/>
  </w:num>
  <w:num w:numId="6" w16cid:durableId="1172648888">
    <w:abstractNumId w:val="1"/>
  </w:num>
  <w:num w:numId="7" w16cid:durableId="717751434">
    <w:abstractNumId w:val="4"/>
  </w:num>
  <w:num w:numId="8" w16cid:durableId="1019698592">
    <w:abstractNumId w:val="9"/>
  </w:num>
  <w:num w:numId="9" w16cid:durableId="1337996439">
    <w:abstractNumId w:val="6"/>
  </w:num>
  <w:num w:numId="10" w16cid:durableId="1069691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8C"/>
    <w:rsid w:val="000040B8"/>
    <w:rsid w:val="000140F6"/>
    <w:rsid w:val="00040D32"/>
    <w:rsid w:val="00042D4D"/>
    <w:rsid w:val="0005329B"/>
    <w:rsid w:val="00054BE3"/>
    <w:rsid w:val="00060199"/>
    <w:rsid w:val="0006114F"/>
    <w:rsid w:val="000751A4"/>
    <w:rsid w:val="00081063"/>
    <w:rsid w:val="00094BEF"/>
    <w:rsid w:val="000A389C"/>
    <w:rsid w:val="000A67F2"/>
    <w:rsid w:val="000B1B59"/>
    <w:rsid w:val="000B5A58"/>
    <w:rsid w:val="000C1166"/>
    <w:rsid w:val="000C379C"/>
    <w:rsid w:val="000D2299"/>
    <w:rsid w:val="000E4C0A"/>
    <w:rsid w:val="00105D3F"/>
    <w:rsid w:val="00112DFC"/>
    <w:rsid w:val="00117802"/>
    <w:rsid w:val="00137496"/>
    <w:rsid w:val="0014673E"/>
    <w:rsid w:val="00150F86"/>
    <w:rsid w:val="00155383"/>
    <w:rsid w:val="00177ADA"/>
    <w:rsid w:val="0018371C"/>
    <w:rsid w:val="00197005"/>
    <w:rsid w:val="001A45BE"/>
    <w:rsid w:val="001B37B1"/>
    <w:rsid w:val="001C020A"/>
    <w:rsid w:val="001C261C"/>
    <w:rsid w:val="001C61C8"/>
    <w:rsid w:val="00216ABF"/>
    <w:rsid w:val="00234DF8"/>
    <w:rsid w:val="00236872"/>
    <w:rsid w:val="00261C40"/>
    <w:rsid w:val="00276F20"/>
    <w:rsid w:val="00280A98"/>
    <w:rsid w:val="00283E2F"/>
    <w:rsid w:val="0028787C"/>
    <w:rsid w:val="002A0A51"/>
    <w:rsid w:val="002B1BAA"/>
    <w:rsid w:val="002E3A99"/>
    <w:rsid w:val="002E607E"/>
    <w:rsid w:val="002E652C"/>
    <w:rsid w:val="002F7343"/>
    <w:rsid w:val="00347251"/>
    <w:rsid w:val="00347F24"/>
    <w:rsid w:val="00371F8E"/>
    <w:rsid w:val="00375EC0"/>
    <w:rsid w:val="003B1EB2"/>
    <w:rsid w:val="003B4734"/>
    <w:rsid w:val="003D5AB4"/>
    <w:rsid w:val="003F3E09"/>
    <w:rsid w:val="004050C9"/>
    <w:rsid w:val="00415F33"/>
    <w:rsid w:val="004234E8"/>
    <w:rsid w:val="004421BE"/>
    <w:rsid w:val="00443FE6"/>
    <w:rsid w:val="00454E11"/>
    <w:rsid w:val="0046001B"/>
    <w:rsid w:val="00462517"/>
    <w:rsid w:val="00472B77"/>
    <w:rsid w:val="00482280"/>
    <w:rsid w:val="0048576B"/>
    <w:rsid w:val="00486669"/>
    <w:rsid w:val="00490BF3"/>
    <w:rsid w:val="004A2E86"/>
    <w:rsid w:val="004B0391"/>
    <w:rsid w:val="004B1423"/>
    <w:rsid w:val="004B30C4"/>
    <w:rsid w:val="004D66FD"/>
    <w:rsid w:val="00500AE9"/>
    <w:rsid w:val="00502E27"/>
    <w:rsid w:val="0050703F"/>
    <w:rsid w:val="00511A8F"/>
    <w:rsid w:val="00515884"/>
    <w:rsid w:val="005247C2"/>
    <w:rsid w:val="0052679B"/>
    <w:rsid w:val="00527CD5"/>
    <w:rsid w:val="00562BA6"/>
    <w:rsid w:val="00571855"/>
    <w:rsid w:val="005A2D41"/>
    <w:rsid w:val="005A6686"/>
    <w:rsid w:val="005B507B"/>
    <w:rsid w:val="005B75C8"/>
    <w:rsid w:val="005E1987"/>
    <w:rsid w:val="005F2491"/>
    <w:rsid w:val="005F7B6F"/>
    <w:rsid w:val="00604470"/>
    <w:rsid w:val="00634FEB"/>
    <w:rsid w:val="00677292"/>
    <w:rsid w:val="0067731F"/>
    <w:rsid w:val="00681589"/>
    <w:rsid w:val="0068382F"/>
    <w:rsid w:val="006A1E93"/>
    <w:rsid w:val="006A7299"/>
    <w:rsid w:val="006B5686"/>
    <w:rsid w:val="006E5FBB"/>
    <w:rsid w:val="006F2DEE"/>
    <w:rsid w:val="006F6C93"/>
    <w:rsid w:val="00710E16"/>
    <w:rsid w:val="00716B22"/>
    <w:rsid w:val="00724DE2"/>
    <w:rsid w:val="00731F19"/>
    <w:rsid w:val="007340AC"/>
    <w:rsid w:val="00746BD5"/>
    <w:rsid w:val="0075100E"/>
    <w:rsid w:val="00764EBB"/>
    <w:rsid w:val="007676BD"/>
    <w:rsid w:val="00773B9D"/>
    <w:rsid w:val="0077753C"/>
    <w:rsid w:val="007A1F6F"/>
    <w:rsid w:val="007B7416"/>
    <w:rsid w:val="007C712E"/>
    <w:rsid w:val="007C719C"/>
    <w:rsid w:val="007F22A8"/>
    <w:rsid w:val="00816DEB"/>
    <w:rsid w:val="0084146C"/>
    <w:rsid w:val="008475D9"/>
    <w:rsid w:val="00857800"/>
    <w:rsid w:val="00861FC1"/>
    <w:rsid w:val="008868C4"/>
    <w:rsid w:val="008A2DC5"/>
    <w:rsid w:val="008A5144"/>
    <w:rsid w:val="008D4724"/>
    <w:rsid w:val="008F14CE"/>
    <w:rsid w:val="00917FF9"/>
    <w:rsid w:val="009201D3"/>
    <w:rsid w:val="00921B08"/>
    <w:rsid w:val="00932765"/>
    <w:rsid w:val="00944F7E"/>
    <w:rsid w:val="00952729"/>
    <w:rsid w:val="00963DBC"/>
    <w:rsid w:val="00977717"/>
    <w:rsid w:val="009940B5"/>
    <w:rsid w:val="00994F26"/>
    <w:rsid w:val="009A3C71"/>
    <w:rsid w:val="009A7BB6"/>
    <w:rsid w:val="009F4D63"/>
    <w:rsid w:val="00A02F3B"/>
    <w:rsid w:val="00A15970"/>
    <w:rsid w:val="00A22126"/>
    <w:rsid w:val="00A22693"/>
    <w:rsid w:val="00A26818"/>
    <w:rsid w:val="00A32C7E"/>
    <w:rsid w:val="00A478F4"/>
    <w:rsid w:val="00A543BC"/>
    <w:rsid w:val="00A9244F"/>
    <w:rsid w:val="00A96ECA"/>
    <w:rsid w:val="00A9714D"/>
    <w:rsid w:val="00AA1B9A"/>
    <w:rsid w:val="00AA4E40"/>
    <w:rsid w:val="00AB6896"/>
    <w:rsid w:val="00AD5AC5"/>
    <w:rsid w:val="00AE2253"/>
    <w:rsid w:val="00B11636"/>
    <w:rsid w:val="00B541EF"/>
    <w:rsid w:val="00B60EF3"/>
    <w:rsid w:val="00B671CD"/>
    <w:rsid w:val="00B70B3B"/>
    <w:rsid w:val="00B71A4B"/>
    <w:rsid w:val="00B8377C"/>
    <w:rsid w:val="00B93AED"/>
    <w:rsid w:val="00BA05F4"/>
    <w:rsid w:val="00BB2B60"/>
    <w:rsid w:val="00BE0756"/>
    <w:rsid w:val="00BE4112"/>
    <w:rsid w:val="00BE58A8"/>
    <w:rsid w:val="00BE68A6"/>
    <w:rsid w:val="00C06B25"/>
    <w:rsid w:val="00C2015D"/>
    <w:rsid w:val="00C24653"/>
    <w:rsid w:val="00C371A7"/>
    <w:rsid w:val="00C459EA"/>
    <w:rsid w:val="00C54BFF"/>
    <w:rsid w:val="00C84C45"/>
    <w:rsid w:val="00C906BA"/>
    <w:rsid w:val="00C959D7"/>
    <w:rsid w:val="00CA1260"/>
    <w:rsid w:val="00CA56AE"/>
    <w:rsid w:val="00CE59F4"/>
    <w:rsid w:val="00D032CB"/>
    <w:rsid w:val="00D16A4B"/>
    <w:rsid w:val="00D423BF"/>
    <w:rsid w:val="00D5329D"/>
    <w:rsid w:val="00D67286"/>
    <w:rsid w:val="00D72F5C"/>
    <w:rsid w:val="00D9083C"/>
    <w:rsid w:val="00D91E40"/>
    <w:rsid w:val="00DA15E4"/>
    <w:rsid w:val="00DD04CA"/>
    <w:rsid w:val="00DE3AC9"/>
    <w:rsid w:val="00DF4D2B"/>
    <w:rsid w:val="00DF7CCE"/>
    <w:rsid w:val="00E12008"/>
    <w:rsid w:val="00E1434C"/>
    <w:rsid w:val="00E220DB"/>
    <w:rsid w:val="00E2369A"/>
    <w:rsid w:val="00E3124E"/>
    <w:rsid w:val="00E34F1F"/>
    <w:rsid w:val="00E544D1"/>
    <w:rsid w:val="00E54B7E"/>
    <w:rsid w:val="00E74ADA"/>
    <w:rsid w:val="00E76C81"/>
    <w:rsid w:val="00E772C5"/>
    <w:rsid w:val="00E933FE"/>
    <w:rsid w:val="00E95C91"/>
    <w:rsid w:val="00EC745B"/>
    <w:rsid w:val="00ED3C95"/>
    <w:rsid w:val="00EF0EE0"/>
    <w:rsid w:val="00F31DC6"/>
    <w:rsid w:val="00F76F7E"/>
    <w:rsid w:val="00F80D9B"/>
    <w:rsid w:val="00F812D6"/>
    <w:rsid w:val="00F836EF"/>
    <w:rsid w:val="00F9118C"/>
    <w:rsid w:val="00FA32C5"/>
    <w:rsid w:val="00FB41CE"/>
    <w:rsid w:val="00FB7094"/>
    <w:rsid w:val="00FD2505"/>
    <w:rsid w:val="00FE7F95"/>
    <w:rsid w:val="00FF17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72A9D"/>
  <w15:docId w15:val="{614A0883-A090-4E45-9F6D-6C99427C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18C"/>
    <w:pPr>
      <w:spacing w:after="200" w:line="276" w:lineRule="auto"/>
    </w:pPr>
    <w:rPr>
      <w:rFonts w:ascii="Calibri" w:hAnsi="Calibri" w:cs="Calibri"/>
      <w:sz w:val="22"/>
      <w:szCs w:val="22"/>
      <w:lang w:val="ro-RO" w:eastAsia="ro-RO"/>
    </w:rPr>
  </w:style>
  <w:style w:type="paragraph" w:styleId="Heading1">
    <w:name w:val="heading 1"/>
    <w:basedOn w:val="Normal"/>
    <w:link w:val="Heading1Char"/>
    <w:uiPriority w:val="9"/>
    <w:qFormat/>
    <w:rsid w:val="00BB2B60"/>
    <w:pPr>
      <w:spacing w:before="100" w:beforeAutospacing="1" w:after="100" w:afterAutospacing="1" w:line="240" w:lineRule="auto"/>
      <w:outlineLvl w:val="0"/>
    </w:pPr>
    <w:rPr>
      <w:rFonts w:ascii="Times New Roman" w:hAnsi="Times New Roman" w:cs="Times New Roman"/>
      <w:b/>
      <w:bCs/>
      <w:kern w:val="36"/>
      <w:sz w:val="48"/>
      <w:szCs w:val="48"/>
      <w:lang w:val="en-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118C"/>
    <w:rPr>
      <w:color w:val="0000FF"/>
      <w:u w:val="single"/>
    </w:rPr>
  </w:style>
  <w:style w:type="paragraph" w:styleId="Header">
    <w:name w:val="header"/>
    <w:basedOn w:val="Normal"/>
    <w:rsid w:val="00F9118C"/>
    <w:pPr>
      <w:tabs>
        <w:tab w:val="center" w:pos="4320"/>
        <w:tab w:val="right" w:pos="8640"/>
      </w:tabs>
    </w:pPr>
  </w:style>
  <w:style w:type="paragraph" w:styleId="Footer">
    <w:name w:val="footer"/>
    <w:basedOn w:val="Normal"/>
    <w:rsid w:val="00F9118C"/>
    <w:pPr>
      <w:tabs>
        <w:tab w:val="center" w:pos="4320"/>
        <w:tab w:val="right" w:pos="8640"/>
      </w:tabs>
    </w:pPr>
  </w:style>
  <w:style w:type="paragraph" w:styleId="ListParagraph">
    <w:name w:val="List Paragraph"/>
    <w:basedOn w:val="Normal"/>
    <w:uiPriority w:val="34"/>
    <w:qFormat/>
    <w:rsid w:val="005F7B6F"/>
    <w:pPr>
      <w:ind w:left="720"/>
      <w:contextualSpacing/>
    </w:pPr>
  </w:style>
  <w:style w:type="table" w:styleId="TableGrid">
    <w:name w:val="Table Grid"/>
    <w:basedOn w:val="TableNormal"/>
    <w:rsid w:val="00841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41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4146C"/>
    <w:rPr>
      <w:rFonts w:ascii="Tahoma" w:hAnsi="Tahoma" w:cs="Tahoma"/>
      <w:sz w:val="16"/>
      <w:szCs w:val="16"/>
      <w:lang w:val="ro-RO" w:eastAsia="ro-RO"/>
    </w:rPr>
  </w:style>
  <w:style w:type="character" w:styleId="FollowedHyperlink">
    <w:name w:val="FollowedHyperlink"/>
    <w:basedOn w:val="DefaultParagraphFont"/>
    <w:semiHidden/>
    <w:unhideWhenUsed/>
    <w:rsid w:val="00857800"/>
    <w:rPr>
      <w:color w:val="800080" w:themeColor="followedHyperlink"/>
      <w:u w:val="single"/>
    </w:rPr>
  </w:style>
  <w:style w:type="character" w:styleId="UnresolvedMention">
    <w:name w:val="Unresolved Mention"/>
    <w:basedOn w:val="DefaultParagraphFont"/>
    <w:uiPriority w:val="99"/>
    <w:semiHidden/>
    <w:unhideWhenUsed/>
    <w:rsid w:val="00E772C5"/>
    <w:rPr>
      <w:color w:val="605E5C"/>
      <w:shd w:val="clear" w:color="auto" w:fill="E1DFDD"/>
    </w:rPr>
  </w:style>
  <w:style w:type="character" w:customStyle="1" w:styleId="Heading1Char">
    <w:name w:val="Heading 1 Char"/>
    <w:basedOn w:val="DefaultParagraphFont"/>
    <w:link w:val="Heading1"/>
    <w:uiPriority w:val="9"/>
    <w:rsid w:val="00BB2B60"/>
    <w:rPr>
      <w:b/>
      <w:bCs/>
      <w:kern w:val="36"/>
      <w:sz w:val="48"/>
      <w:szCs w:val="48"/>
      <w:lang w:val="en-RO" w:eastAsia="en-US"/>
    </w:rPr>
  </w:style>
  <w:style w:type="paragraph" w:styleId="Caption">
    <w:name w:val="caption"/>
    <w:basedOn w:val="Normal"/>
    <w:next w:val="Normal"/>
    <w:uiPriority w:val="35"/>
    <w:unhideWhenUsed/>
    <w:qFormat/>
    <w:rsid w:val="00BB2B60"/>
    <w:pPr>
      <w:spacing w:line="240" w:lineRule="auto"/>
    </w:pPr>
    <w:rPr>
      <w:rFonts w:asciiTheme="minorHAnsi" w:eastAsiaTheme="minorHAnsi" w:hAnsiTheme="minorHAnsi" w:cstheme="minorBidi"/>
      <w:i/>
      <w:iCs/>
      <w:color w:val="1F497D" w:themeColor="text2"/>
      <w:kern w:val="2"/>
      <w:sz w:val="18"/>
      <w:szCs w:val="18"/>
      <w:lang w:eastAsia="en-US"/>
      <w14:ligatures w14:val="standardContextual"/>
    </w:rPr>
  </w:style>
  <w:style w:type="paragraph" w:styleId="NormalWeb">
    <w:name w:val="Normal (Web)"/>
    <w:basedOn w:val="Normal"/>
    <w:uiPriority w:val="99"/>
    <w:unhideWhenUsed/>
    <w:rsid w:val="00BB2B60"/>
    <w:pPr>
      <w:spacing w:before="100" w:beforeAutospacing="1" w:after="100" w:afterAutospacing="1" w:line="240" w:lineRule="auto"/>
    </w:pPr>
    <w:rPr>
      <w:rFonts w:ascii="Times New Roman" w:hAnsi="Times New Roman" w:cs="Times New Roman"/>
      <w:sz w:val="24"/>
      <w:szCs w:val="24"/>
      <w:lang w:val="en-RO" w:eastAsia="en-US"/>
    </w:rPr>
  </w:style>
  <w:style w:type="character" w:customStyle="1" w:styleId="apple-converted-space">
    <w:name w:val="apple-converted-space"/>
    <w:basedOn w:val="DefaultParagraphFont"/>
    <w:rsid w:val="00BB2B60"/>
  </w:style>
  <w:style w:type="character" w:styleId="Strong">
    <w:name w:val="Strong"/>
    <w:basedOn w:val="DefaultParagraphFont"/>
    <w:uiPriority w:val="22"/>
    <w:qFormat/>
    <w:rsid w:val="00BB2B60"/>
    <w:rPr>
      <w:b/>
      <w:bCs/>
    </w:rPr>
  </w:style>
  <w:style w:type="character" w:styleId="Emphasis">
    <w:name w:val="Emphasis"/>
    <w:basedOn w:val="DefaultParagraphFont"/>
    <w:uiPriority w:val="20"/>
    <w:qFormat/>
    <w:rsid w:val="00E95C91"/>
    <w:rPr>
      <w:i/>
      <w:iCs/>
    </w:rPr>
  </w:style>
  <w:style w:type="paragraph" w:styleId="HTMLPreformatted">
    <w:name w:val="HTML Preformatted"/>
    <w:basedOn w:val="Normal"/>
    <w:link w:val="HTMLPreformattedChar"/>
    <w:uiPriority w:val="99"/>
    <w:unhideWhenUsed/>
    <w:rsid w:val="00CA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RO" w:eastAsia="en-US"/>
    </w:rPr>
  </w:style>
  <w:style w:type="character" w:customStyle="1" w:styleId="HTMLPreformattedChar">
    <w:name w:val="HTML Preformatted Char"/>
    <w:basedOn w:val="DefaultParagraphFont"/>
    <w:link w:val="HTMLPreformatted"/>
    <w:uiPriority w:val="99"/>
    <w:rsid w:val="00CA56AE"/>
    <w:rPr>
      <w:rFonts w:ascii="Courier New" w:hAnsi="Courier New" w:cs="Courier New"/>
      <w:lang w:val="en-RO" w:eastAsia="en-US"/>
    </w:rPr>
  </w:style>
  <w:style w:type="character" w:customStyle="1" w:styleId="y2iqfc">
    <w:name w:val="y2iqfc"/>
    <w:basedOn w:val="DefaultParagraphFont"/>
    <w:rsid w:val="00CA5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9499">
      <w:bodyDiv w:val="1"/>
      <w:marLeft w:val="0"/>
      <w:marRight w:val="0"/>
      <w:marTop w:val="0"/>
      <w:marBottom w:val="0"/>
      <w:divBdr>
        <w:top w:val="none" w:sz="0" w:space="0" w:color="auto"/>
        <w:left w:val="none" w:sz="0" w:space="0" w:color="auto"/>
        <w:bottom w:val="none" w:sz="0" w:space="0" w:color="auto"/>
        <w:right w:val="none" w:sz="0" w:space="0" w:color="auto"/>
      </w:divBdr>
      <w:divsChild>
        <w:div w:id="1589581792">
          <w:marLeft w:val="0"/>
          <w:marRight w:val="0"/>
          <w:marTop w:val="0"/>
          <w:marBottom w:val="0"/>
          <w:divBdr>
            <w:top w:val="none" w:sz="0" w:space="0" w:color="auto"/>
            <w:left w:val="none" w:sz="0" w:space="0" w:color="auto"/>
            <w:bottom w:val="none" w:sz="0" w:space="0" w:color="auto"/>
            <w:right w:val="none" w:sz="0" w:space="0" w:color="auto"/>
          </w:divBdr>
          <w:divsChild>
            <w:div w:id="1077433696">
              <w:marLeft w:val="0"/>
              <w:marRight w:val="0"/>
              <w:marTop w:val="0"/>
              <w:marBottom w:val="0"/>
              <w:divBdr>
                <w:top w:val="none" w:sz="0" w:space="0" w:color="auto"/>
                <w:left w:val="none" w:sz="0" w:space="0" w:color="auto"/>
                <w:bottom w:val="none" w:sz="0" w:space="0" w:color="auto"/>
                <w:right w:val="none" w:sz="0" w:space="0" w:color="auto"/>
              </w:divBdr>
              <w:divsChild>
                <w:div w:id="16821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82200">
      <w:bodyDiv w:val="1"/>
      <w:marLeft w:val="0"/>
      <w:marRight w:val="0"/>
      <w:marTop w:val="0"/>
      <w:marBottom w:val="0"/>
      <w:divBdr>
        <w:top w:val="none" w:sz="0" w:space="0" w:color="auto"/>
        <w:left w:val="none" w:sz="0" w:space="0" w:color="auto"/>
        <w:bottom w:val="none" w:sz="0" w:space="0" w:color="auto"/>
        <w:right w:val="none" w:sz="0" w:space="0" w:color="auto"/>
      </w:divBdr>
      <w:divsChild>
        <w:div w:id="399906724">
          <w:marLeft w:val="0"/>
          <w:marRight w:val="0"/>
          <w:marTop w:val="0"/>
          <w:marBottom w:val="0"/>
          <w:divBdr>
            <w:top w:val="none" w:sz="0" w:space="0" w:color="auto"/>
            <w:left w:val="none" w:sz="0" w:space="0" w:color="auto"/>
            <w:bottom w:val="none" w:sz="0" w:space="0" w:color="auto"/>
            <w:right w:val="none" w:sz="0" w:space="0" w:color="auto"/>
          </w:divBdr>
          <w:divsChild>
            <w:div w:id="1484930987">
              <w:marLeft w:val="0"/>
              <w:marRight w:val="0"/>
              <w:marTop w:val="0"/>
              <w:marBottom w:val="0"/>
              <w:divBdr>
                <w:top w:val="none" w:sz="0" w:space="0" w:color="auto"/>
                <w:left w:val="none" w:sz="0" w:space="0" w:color="auto"/>
                <w:bottom w:val="none" w:sz="0" w:space="0" w:color="auto"/>
                <w:right w:val="none" w:sz="0" w:space="0" w:color="auto"/>
              </w:divBdr>
              <w:divsChild>
                <w:div w:id="4070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18056">
      <w:bodyDiv w:val="1"/>
      <w:marLeft w:val="0"/>
      <w:marRight w:val="0"/>
      <w:marTop w:val="0"/>
      <w:marBottom w:val="0"/>
      <w:divBdr>
        <w:top w:val="none" w:sz="0" w:space="0" w:color="auto"/>
        <w:left w:val="none" w:sz="0" w:space="0" w:color="auto"/>
        <w:bottom w:val="none" w:sz="0" w:space="0" w:color="auto"/>
        <w:right w:val="none" w:sz="0" w:space="0" w:color="auto"/>
      </w:divBdr>
      <w:divsChild>
        <w:div w:id="947851482">
          <w:marLeft w:val="0"/>
          <w:marRight w:val="0"/>
          <w:marTop w:val="0"/>
          <w:marBottom w:val="0"/>
          <w:divBdr>
            <w:top w:val="none" w:sz="0" w:space="0" w:color="auto"/>
            <w:left w:val="none" w:sz="0" w:space="0" w:color="auto"/>
            <w:bottom w:val="none" w:sz="0" w:space="0" w:color="auto"/>
            <w:right w:val="none" w:sz="0" w:space="0" w:color="auto"/>
          </w:divBdr>
          <w:divsChild>
            <w:div w:id="1025907091">
              <w:marLeft w:val="0"/>
              <w:marRight w:val="0"/>
              <w:marTop w:val="0"/>
              <w:marBottom w:val="0"/>
              <w:divBdr>
                <w:top w:val="none" w:sz="0" w:space="0" w:color="auto"/>
                <w:left w:val="none" w:sz="0" w:space="0" w:color="auto"/>
                <w:bottom w:val="none" w:sz="0" w:space="0" w:color="auto"/>
                <w:right w:val="none" w:sz="0" w:space="0" w:color="auto"/>
              </w:divBdr>
              <w:divsChild>
                <w:div w:id="3991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6095">
      <w:bodyDiv w:val="1"/>
      <w:marLeft w:val="0"/>
      <w:marRight w:val="0"/>
      <w:marTop w:val="0"/>
      <w:marBottom w:val="0"/>
      <w:divBdr>
        <w:top w:val="none" w:sz="0" w:space="0" w:color="auto"/>
        <w:left w:val="none" w:sz="0" w:space="0" w:color="auto"/>
        <w:bottom w:val="none" w:sz="0" w:space="0" w:color="auto"/>
        <w:right w:val="none" w:sz="0" w:space="0" w:color="auto"/>
      </w:divBdr>
      <w:divsChild>
        <w:div w:id="884408534">
          <w:marLeft w:val="0"/>
          <w:marRight w:val="0"/>
          <w:marTop w:val="0"/>
          <w:marBottom w:val="0"/>
          <w:divBdr>
            <w:top w:val="none" w:sz="0" w:space="0" w:color="auto"/>
            <w:left w:val="none" w:sz="0" w:space="0" w:color="auto"/>
            <w:bottom w:val="none" w:sz="0" w:space="0" w:color="auto"/>
            <w:right w:val="none" w:sz="0" w:space="0" w:color="auto"/>
          </w:divBdr>
          <w:divsChild>
            <w:div w:id="201334164">
              <w:marLeft w:val="0"/>
              <w:marRight w:val="0"/>
              <w:marTop w:val="0"/>
              <w:marBottom w:val="0"/>
              <w:divBdr>
                <w:top w:val="none" w:sz="0" w:space="0" w:color="auto"/>
                <w:left w:val="none" w:sz="0" w:space="0" w:color="auto"/>
                <w:bottom w:val="none" w:sz="0" w:space="0" w:color="auto"/>
                <w:right w:val="none" w:sz="0" w:space="0" w:color="auto"/>
              </w:divBdr>
              <w:divsChild>
                <w:div w:id="16734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738437">
      <w:bodyDiv w:val="1"/>
      <w:marLeft w:val="0"/>
      <w:marRight w:val="0"/>
      <w:marTop w:val="0"/>
      <w:marBottom w:val="0"/>
      <w:divBdr>
        <w:top w:val="none" w:sz="0" w:space="0" w:color="auto"/>
        <w:left w:val="none" w:sz="0" w:space="0" w:color="auto"/>
        <w:bottom w:val="none" w:sz="0" w:space="0" w:color="auto"/>
        <w:right w:val="none" w:sz="0" w:space="0" w:color="auto"/>
      </w:divBdr>
      <w:divsChild>
        <w:div w:id="1851795813">
          <w:marLeft w:val="0"/>
          <w:marRight w:val="0"/>
          <w:marTop w:val="0"/>
          <w:marBottom w:val="150"/>
          <w:divBdr>
            <w:top w:val="none" w:sz="0" w:space="0" w:color="auto"/>
            <w:left w:val="none" w:sz="0" w:space="0" w:color="auto"/>
            <w:bottom w:val="none" w:sz="0" w:space="0" w:color="auto"/>
            <w:right w:val="none" w:sz="0" w:space="0" w:color="auto"/>
          </w:divBdr>
        </w:div>
      </w:divsChild>
    </w:div>
    <w:div w:id="608973643">
      <w:bodyDiv w:val="1"/>
      <w:marLeft w:val="0"/>
      <w:marRight w:val="0"/>
      <w:marTop w:val="0"/>
      <w:marBottom w:val="0"/>
      <w:divBdr>
        <w:top w:val="none" w:sz="0" w:space="0" w:color="auto"/>
        <w:left w:val="none" w:sz="0" w:space="0" w:color="auto"/>
        <w:bottom w:val="none" w:sz="0" w:space="0" w:color="auto"/>
        <w:right w:val="none" w:sz="0" w:space="0" w:color="auto"/>
      </w:divBdr>
      <w:divsChild>
        <w:div w:id="1724134922">
          <w:marLeft w:val="0"/>
          <w:marRight w:val="0"/>
          <w:marTop w:val="0"/>
          <w:marBottom w:val="0"/>
          <w:divBdr>
            <w:top w:val="none" w:sz="0" w:space="0" w:color="auto"/>
            <w:left w:val="none" w:sz="0" w:space="0" w:color="auto"/>
            <w:bottom w:val="none" w:sz="0" w:space="0" w:color="auto"/>
            <w:right w:val="none" w:sz="0" w:space="0" w:color="auto"/>
          </w:divBdr>
          <w:divsChild>
            <w:div w:id="590047656">
              <w:marLeft w:val="0"/>
              <w:marRight w:val="0"/>
              <w:marTop w:val="0"/>
              <w:marBottom w:val="0"/>
              <w:divBdr>
                <w:top w:val="none" w:sz="0" w:space="0" w:color="auto"/>
                <w:left w:val="none" w:sz="0" w:space="0" w:color="auto"/>
                <w:bottom w:val="none" w:sz="0" w:space="0" w:color="auto"/>
                <w:right w:val="none" w:sz="0" w:space="0" w:color="auto"/>
              </w:divBdr>
            </w:div>
          </w:divsChild>
        </w:div>
        <w:div w:id="1888642076">
          <w:marLeft w:val="0"/>
          <w:marRight w:val="0"/>
          <w:marTop w:val="0"/>
          <w:marBottom w:val="0"/>
          <w:divBdr>
            <w:top w:val="none" w:sz="0" w:space="0" w:color="auto"/>
            <w:left w:val="none" w:sz="0" w:space="0" w:color="auto"/>
            <w:bottom w:val="none" w:sz="0" w:space="0" w:color="auto"/>
            <w:right w:val="none" w:sz="0" w:space="0" w:color="auto"/>
          </w:divBdr>
          <w:divsChild>
            <w:div w:id="220289123">
              <w:marLeft w:val="0"/>
              <w:marRight w:val="0"/>
              <w:marTop w:val="0"/>
              <w:marBottom w:val="0"/>
              <w:divBdr>
                <w:top w:val="none" w:sz="0" w:space="0" w:color="auto"/>
                <w:left w:val="none" w:sz="0" w:space="0" w:color="auto"/>
                <w:bottom w:val="none" w:sz="0" w:space="0" w:color="auto"/>
                <w:right w:val="none" w:sz="0" w:space="0" w:color="auto"/>
              </w:divBdr>
              <w:divsChild>
                <w:div w:id="16394233">
                  <w:marLeft w:val="0"/>
                  <w:marRight w:val="0"/>
                  <w:marTop w:val="0"/>
                  <w:marBottom w:val="0"/>
                  <w:divBdr>
                    <w:top w:val="none" w:sz="0" w:space="0" w:color="auto"/>
                    <w:left w:val="none" w:sz="0" w:space="0" w:color="auto"/>
                    <w:bottom w:val="none" w:sz="0" w:space="0" w:color="auto"/>
                    <w:right w:val="none" w:sz="0" w:space="0" w:color="auto"/>
                  </w:divBdr>
                  <w:divsChild>
                    <w:div w:id="621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77006">
      <w:bodyDiv w:val="1"/>
      <w:marLeft w:val="0"/>
      <w:marRight w:val="0"/>
      <w:marTop w:val="0"/>
      <w:marBottom w:val="0"/>
      <w:divBdr>
        <w:top w:val="none" w:sz="0" w:space="0" w:color="auto"/>
        <w:left w:val="none" w:sz="0" w:space="0" w:color="auto"/>
        <w:bottom w:val="none" w:sz="0" w:space="0" w:color="auto"/>
        <w:right w:val="none" w:sz="0" w:space="0" w:color="auto"/>
      </w:divBdr>
    </w:div>
    <w:div w:id="689793799">
      <w:bodyDiv w:val="1"/>
      <w:marLeft w:val="0"/>
      <w:marRight w:val="0"/>
      <w:marTop w:val="0"/>
      <w:marBottom w:val="0"/>
      <w:divBdr>
        <w:top w:val="none" w:sz="0" w:space="0" w:color="auto"/>
        <w:left w:val="none" w:sz="0" w:space="0" w:color="auto"/>
        <w:bottom w:val="none" w:sz="0" w:space="0" w:color="auto"/>
        <w:right w:val="none" w:sz="0" w:space="0" w:color="auto"/>
      </w:divBdr>
      <w:divsChild>
        <w:div w:id="1423599834">
          <w:marLeft w:val="0"/>
          <w:marRight w:val="0"/>
          <w:marTop w:val="0"/>
          <w:marBottom w:val="0"/>
          <w:divBdr>
            <w:top w:val="none" w:sz="0" w:space="0" w:color="auto"/>
            <w:left w:val="none" w:sz="0" w:space="0" w:color="auto"/>
            <w:bottom w:val="none" w:sz="0" w:space="0" w:color="auto"/>
            <w:right w:val="none" w:sz="0" w:space="0" w:color="auto"/>
          </w:divBdr>
          <w:divsChild>
            <w:div w:id="918174736">
              <w:marLeft w:val="0"/>
              <w:marRight w:val="0"/>
              <w:marTop w:val="0"/>
              <w:marBottom w:val="0"/>
              <w:divBdr>
                <w:top w:val="none" w:sz="0" w:space="0" w:color="auto"/>
                <w:left w:val="none" w:sz="0" w:space="0" w:color="auto"/>
                <w:bottom w:val="none" w:sz="0" w:space="0" w:color="auto"/>
                <w:right w:val="none" w:sz="0" w:space="0" w:color="auto"/>
              </w:divBdr>
              <w:divsChild>
                <w:div w:id="19870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3236">
      <w:bodyDiv w:val="1"/>
      <w:marLeft w:val="0"/>
      <w:marRight w:val="0"/>
      <w:marTop w:val="0"/>
      <w:marBottom w:val="0"/>
      <w:divBdr>
        <w:top w:val="none" w:sz="0" w:space="0" w:color="auto"/>
        <w:left w:val="none" w:sz="0" w:space="0" w:color="auto"/>
        <w:bottom w:val="none" w:sz="0" w:space="0" w:color="auto"/>
        <w:right w:val="none" w:sz="0" w:space="0" w:color="auto"/>
      </w:divBdr>
    </w:div>
    <w:div w:id="1005667033">
      <w:bodyDiv w:val="1"/>
      <w:marLeft w:val="0"/>
      <w:marRight w:val="0"/>
      <w:marTop w:val="0"/>
      <w:marBottom w:val="0"/>
      <w:divBdr>
        <w:top w:val="none" w:sz="0" w:space="0" w:color="auto"/>
        <w:left w:val="none" w:sz="0" w:space="0" w:color="auto"/>
        <w:bottom w:val="none" w:sz="0" w:space="0" w:color="auto"/>
        <w:right w:val="none" w:sz="0" w:space="0" w:color="auto"/>
      </w:divBdr>
    </w:div>
    <w:div w:id="1094668845">
      <w:bodyDiv w:val="1"/>
      <w:marLeft w:val="0"/>
      <w:marRight w:val="0"/>
      <w:marTop w:val="0"/>
      <w:marBottom w:val="0"/>
      <w:divBdr>
        <w:top w:val="none" w:sz="0" w:space="0" w:color="auto"/>
        <w:left w:val="none" w:sz="0" w:space="0" w:color="auto"/>
        <w:bottom w:val="none" w:sz="0" w:space="0" w:color="auto"/>
        <w:right w:val="none" w:sz="0" w:space="0" w:color="auto"/>
      </w:divBdr>
    </w:div>
    <w:div w:id="1194491883">
      <w:bodyDiv w:val="1"/>
      <w:marLeft w:val="0"/>
      <w:marRight w:val="0"/>
      <w:marTop w:val="0"/>
      <w:marBottom w:val="0"/>
      <w:divBdr>
        <w:top w:val="none" w:sz="0" w:space="0" w:color="auto"/>
        <w:left w:val="none" w:sz="0" w:space="0" w:color="auto"/>
        <w:bottom w:val="none" w:sz="0" w:space="0" w:color="auto"/>
        <w:right w:val="none" w:sz="0" w:space="0" w:color="auto"/>
      </w:divBdr>
    </w:div>
    <w:div w:id="1235312404">
      <w:bodyDiv w:val="1"/>
      <w:marLeft w:val="0"/>
      <w:marRight w:val="0"/>
      <w:marTop w:val="0"/>
      <w:marBottom w:val="0"/>
      <w:divBdr>
        <w:top w:val="none" w:sz="0" w:space="0" w:color="auto"/>
        <w:left w:val="none" w:sz="0" w:space="0" w:color="auto"/>
        <w:bottom w:val="none" w:sz="0" w:space="0" w:color="auto"/>
        <w:right w:val="none" w:sz="0" w:space="0" w:color="auto"/>
      </w:divBdr>
    </w:div>
    <w:div w:id="1311405238">
      <w:bodyDiv w:val="1"/>
      <w:marLeft w:val="0"/>
      <w:marRight w:val="0"/>
      <w:marTop w:val="0"/>
      <w:marBottom w:val="0"/>
      <w:divBdr>
        <w:top w:val="none" w:sz="0" w:space="0" w:color="auto"/>
        <w:left w:val="none" w:sz="0" w:space="0" w:color="auto"/>
        <w:bottom w:val="none" w:sz="0" w:space="0" w:color="auto"/>
        <w:right w:val="none" w:sz="0" w:space="0" w:color="auto"/>
      </w:divBdr>
    </w:div>
    <w:div w:id="1496606364">
      <w:bodyDiv w:val="1"/>
      <w:marLeft w:val="0"/>
      <w:marRight w:val="0"/>
      <w:marTop w:val="0"/>
      <w:marBottom w:val="0"/>
      <w:divBdr>
        <w:top w:val="none" w:sz="0" w:space="0" w:color="auto"/>
        <w:left w:val="none" w:sz="0" w:space="0" w:color="auto"/>
        <w:bottom w:val="none" w:sz="0" w:space="0" w:color="auto"/>
        <w:right w:val="none" w:sz="0" w:space="0" w:color="auto"/>
      </w:divBdr>
      <w:divsChild>
        <w:div w:id="411002276">
          <w:marLeft w:val="0"/>
          <w:marRight w:val="0"/>
          <w:marTop w:val="0"/>
          <w:marBottom w:val="0"/>
          <w:divBdr>
            <w:top w:val="none" w:sz="0" w:space="0" w:color="auto"/>
            <w:left w:val="none" w:sz="0" w:space="0" w:color="auto"/>
            <w:bottom w:val="none" w:sz="0" w:space="0" w:color="auto"/>
            <w:right w:val="none" w:sz="0" w:space="0" w:color="auto"/>
          </w:divBdr>
          <w:divsChild>
            <w:div w:id="233584961">
              <w:marLeft w:val="0"/>
              <w:marRight w:val="0"/>
              <w:marTop w:val="0"/>
              <w:marBottom w:val="0"/>
              <w:divBdr>
                <w:top w:val="none" w:sz="0" w:space="0" w:color="auto"/>
                <w:left w:val="none" w:sz="0" w:space="0" w:color="auto"/>
                <w:bottom w:val="none" w:sz="0" w:space="0" w:color="auto"/>
                <w:right w:val="none" w:sz="0" w:space="0" w:color="auto"/>
              </w:divBdr>
              <w:divsChild>
                <w:div w:id="1214197740">
                  <w:marLeft w:val="0"/>
                  <w:marRight w:val="0"/>
                  <w:marTop w:val="0"/>
                  <w:marBottom w:val="0"/>
                  <w:divBdr>
                    <w:top w:val="none" w:sz="0" w:space="0" w:color="auto"/>
                    <w:left w:val="none" w:sz="0" w:space="0" w:color="auto"/>
                    <w:bottom w:val="none" w:sz="0" w:space="0" w:color="auto"/>
                    <w:right w:val="none" w:sz="0" w:space="0" w:color="auto"/>
                  </w:divBdr>
                  <w:divsChild>
                    <w:div w:id="6880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512">
      <w:bodyDiv w:val="1"/>
      <w:marLeft w:val="0"/>
      <w:marRight w:val="0"/>
      <w:marTop w:val="0"/>
      <w:marBottom w:val="0"/>
      <w:divBdr>
        <w:top w:val="none" w:sz="0" w:space="0" w:color="auto"/>
        <w:left w:val="none" w:sz="0" w:space="0" w:color="auto"/>
        <w:bottom w:val="none" w:sz="0" w:space="0" w:color="auto"/>
        <w:right w:val="none" w:sz="0" w:space="0" w:color="auto"/>
      </w:divBdr>
      <w:divsChild>
        <w:div w:id="329602450">
          <w:marLeft w:val="0"/>
          <w:marRight w:val="0"/>
          <w:marTop w:val="0"/>
          <w:marBottom w:val="0"/>
          <w:divBdr>
            <w:top w:val="none" w:sz="0" w:space="0" w:color="auto"/>
            <w:left w:val="none" w:sz="0" w:space="0" w:color="auto"/>
            <w:bottom w:val="none" w:sz="0" w:space="0" w:color="auto"/>
            <w:right w:val="none" w:sz="0" w:space="0" w:color="auto"/>
          </w:divBdr>
          <w:divsChild>
            <w:div w:id="136998146">
              <w:marLeft w:val="0"/>
              <w:marRight w:val="0"/>
              <w:marTop w:val="0"/>
              <w:marBottom w:val="0"/>
              <w:divBdr>
                <w:top w:val="none" w:sz="0" w:space="0" w:color="auto"/>
                <w:left w:val="none" w:sz="0" w:space="0" w:color="auto"/>
                <w:bottom w:val="none" w:sz="0" w:space="0" w:color="auto"/>
                <w:right w:val="none" w:sz="0" w:space="0" w:color="auto"/>
              </w:divBdr>
              <w:divsChild>
                <w:div w:id="110423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8968">
      <w:bodyDiv w:val="1"/>
      <w:marLeft w:val="0"/>
      <w:marRight w:val="0"/>
      <w:marTop w:val="0"/>
      <w:marBottom w:val="0"/>
      <w:divBdr>
        <w:top w:val="none" w:sz="0" w:space="0" w:color="auto"/>
        <w:left w:val="none" w:sz="0" w:space="0" w:color="auto"/>
        <w:bottom w:val="none" w:sz="0" w:space="0" w:color="auto"/>
        <w:right w:val="none" w:sz="0" w:space="0" w:color="auto"/>
      </w:divBdr>
    </w:div>
    <w:div w:id="1820219860">
      <w:bodyDiv w:val="1"/>
      <w:marLeft w:val="0"/>
      <w:marRight w:val="0"/>
      <w:marTop w:val="0"/>
      <w:marBottom w:val="0"/>
      <w:divBdr>
        <w:top w:val="none" w:sz="0" w:space="0" w:color="auto"/>
        <w:left w:val="none" w:sz="0" w:space="0" w:color="auto"/>
        <w:bottom w:val="none" w:sz="0" w:space="0" w:color="auto"/>
        <w:right w:val="none" w:sz="0" w:space="0" w:color="auto"/>
      </w:divBdr>
    </w:div>
    <w:div w:id="1827285523">
      <w:bodyDiv w:val="1"/>
      <w:marLeft w:val="0"/>
      <w:marRight w:val="0"/>
      <w:marTop w:val="0"/>
      <w:marBottom w:val="0"/>
      <w:divBdr>
        <w:top w:val="none" w:sz="0" w:space="0" w:color="auto"/>
        <w:left w:val="none" w:sz="0" w:space="0" w:color="auto"/>
        <w:bottom w:val="none" w:sz="0" w:space="0" w:color="auto"/>
        <w:right w:val="none" w:sz="0" w:space="0" w:color="auto"/>
      </w:divBdr>
    </w:div>
    <w:div w:id="188980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CBO9780511841644" TargetMode="External"/><Relationship Id="rId13" Type="http://schemas.openxmlformats.org/officeDocument/2006/relationships/hyperlink" Target="https://legislatie.just.ro/Public/DetaliiDocument/209193"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infrapppworld.com" TargetMode="External"/><Relationship Id="rId12" Type="http://schemas.openxmlformats.org/officeDocument/2006/relationships/hyperlink" Target="https://eur-lex.europa.eu/legal-content/EN/TXT/?uri=celex%3A52004DC0327" TargetMode="External"/><Relationship Id="rId17" Type="http://schemas.openxmlformats.org/officeDocument/2006/relationships/hyperlink" Target="https://www.researchgate.net/publication/335586489_Public-Private_Partnerships_for_Infrastructure_Principles_of_Policy_Finance" TargetMode="External"/><Relationship Id="rId2" Type="http://schemas.openxmlformats.org/officeDocument/2006/relationships/styles" Target="styles.xml"/><Relationship Id="rId16" Type="http://schemas.openxmlformats.org/officeDocument/2006/relationships/hyperlink" Target="https://www.sciencedirect.com/book/monograph/9780750680547/public-private-partnerships"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f.europa.eu/sites/default/files/2021-04/ppps_for_skills_development_summary_note_1.pdf" TargetMode="External"/><Relationship Id="rId5" Type="http://schemas.openxmlformats.org/officeDocument/2006/relationships/footnotes" Target="footnotes.xml"/><Relationship Id="rId15" Type="http://schemas.openxmlformats.org/officeDocument/2006/relationships/hyperlink" Target="https://doi.org/10.1016/B978-075068054-7.50025-3" TargetMode="External"/><Relationship Id="rId10" Type="http://schemas.openxmlformats.org/officeDocument/2006/relationships/hyperlink" Target="https://store.ectap.ro/articole/783_ro.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ew.mmf.lnu.edu.ua/wp-content/uploads/2018/03/brooks_econometr_finance_2nd.pdf" TargetMode="External"/><Relationship Id="rId14" Type="http://schemas.openxmlformats.org/officeDocument/2006/relationships/hyperlink" Target="https://mfinante.gov.ro/parteneriat-public-privat"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81E63C4B58C49BE2CE695A3DBDA84" ma:contentTypeVersion="1" ma:contentTypeDescription="Create a new document." ma:contentTypeScope="" ma:versionID="6284766b95e6f3a94cbf3bfeddea20d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8379A9-5138-48F9-A0D8-38840AD2A0BB}"/>
</file>

<file path=customXml/itemProps2.xml><?xml version="1.0" encoding="utf-8"?>
<ds:datastoreItem xmlns:ds="http://schemas.openxmlformats.org/officeDocument/2006/customXml" ds:itemID="{9C6E0BE7-0A1B-4A25-967F-DDD3DC2BFB48}"/>
</file>

<file path=customXml/itemProps3.xml><?xml version="1.0" encoding="utf-8"?>
<ds:datastoreItem xmlns:ds="http://schemas.openxmlformats.org/officeDocument/2006/customXml" ds:itemID="{228C9851-E447-4E0D-A422-610ACCDC5804}"/>
</file>

<file path=docProps/app.xml><?xml version="1.0" encoding="utf-8"?>
<Properties xmlns="http://schemas.openxmlformats.org/officeDocument/2006/extended-properties" xmlns:vt="http://schemas.openxmlformats.org/officeDocument/2006/docPropsVTypes">
  <Template>Normal.dotm</Template>
  <TotalTime>27</TotalTime>
  <Pages>8</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Titlul lucrării</vt:lpstr>
    </vt:vector>
  </TitlesOfParts>
  <Company>MSHOME</Company>
  <LinksUpToDate>false</LinksUpToDate>
  <CharactersWithSpaces>22200</CharactersWithSpaces>
  <SharedDoc>false</SharedDoc>
  <HLinks>
    <vt:vector size="6" baseType="variant">
      <vt:variant>
        <vt:i4>7602273</vt:i4>
      </vt:variant>
      <vt:variant>
        <vt:i4>0</vt:i4>
      </vt:variant>
      <vt:variant>
        <vt:i4>0</vt:i4>
      </vt:variant>
      <vt:variant>
        <vt:i4>5</vt:i4>
      </vt:variant>
      <vt:variant>
        <vt:lpwstr>http://www.aeaweb.org/journal/jel_class_system.php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Titlul lucrării</dc:title>
  <dc:creator>eXPerience</dc:creator>
  <cp:lastModifiedBy>Surdu Surdu</cp:lastModifiedBy>
  <cp:revision>4</cp:revision>
  <dcterms:created xsi:type="dcterms:W3CDTF">2026-01-22T22:18:00Z</dcterms:created>
  <dcterms:modified xsi:type="dcterms:W3CDTF">2026-01-23T05:28:00Z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0x010100A2C81E63C4B58C49BE2CE695A3DBDA84</vt:lpwstr>
  </property>
</Properties>
</file>